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3520" w14:textId="77777777" w:rsidR="004B3FDE" w:rsidRDefault="004B3FDE" w:rsidP="00392F4B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14:paraId="52BD0FDE" w14:textId="77777777" w:rsidR="00AA0E0A" w:rsidRPr="00067ABB" w:rsidRDefault="00AA0E0A" w:rsidP="00392F4B">
      <w:pPr>
        <w:jc w:val="center"/>
        <w:rPr>
          <w:rFonts w:ascii="Arial" w:hAnsi="Arial"/>
          <w:b/>
          <w:sz w:val="28"/>
          <w:lang w:val="sr-Cyrl-RS"/>
        </w:rPr>
      </w:pPr>
      <w:r w:rsidRPr="00067ABB">
        <w:rPr>
          <w:rFonts w:ascii="Arial" w:hAnsi="Arial"/>
          <w:b/>
          <w:sz w:val="28"/>
          <w:lang w:val="sr-Cyrl-RS"/>
        </w:rPr>
        <w:t>НАКНАДЕ ЗА УСЛУГЕ С ЛИСТЕ РЕПРЕЗЕНТАТИВНИХ УСЛУГА ПОВЕЗАНИХ С ПЛАТНИМ РАЧУНОМ</w:t>
      </w:r>
    </w:p>
    <w:p w14:paraId="3A16923D" w14:textId="77777777" w:rsidR="00AA0E0A" w:rsidRPr="00067ABB" w:rsidRDefault="00AA0E0A" w:rsidP="00392F4B">
      <w:pPr>
        <w:spacing w:line="240" w:lineRule="auto"/>
        <w:jc w:val="both"/>
        <w:rPr>
          <w:rFonts w:ascii="Arial" w:hAnsi="Arial"/>
          <w:sz w:val="28"/>
          <w:lang w:val="sr-Cyrl-RS"/>
        </w:rPr>
      </w:pPr>
    </w:p>
    <w:p w14:paraId="0EF4F8CB" w14:textId="75D39247" w:rsidR="002D475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Пружалац платних услуга дужан </w:t>
      </w:r>
      <w:r w:rsidR="00067ABB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је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да у </w:t>
      </w:r>
      <w:r w:rsidRPr="00067ABB">
        <w:rPr>
          <w:rFonts w:ascii="Arial" w:eastAsia="Calibri" w:hAnsi="Arial"/>
          <w:sz w:val="28"/>
          <w:lang w:val="sr-Cyrl-RS"/>
        </w:rPr>
        <w:t>одговарајућем обрасцу</w:t>
      </w:r>
      <w:r w:rsidRPr="00067ABB">
        <w:rPr>
          <w:rFonts w:ascii="Calibri" w:eastAsia="Calibri" w:hAnsi="Calibri"/>
          <w:lang w:val="sr-Cyrl-RS"/>
        </w:rPr>
        <w:t xml:space="preserve"> </w:t>
      </w:r>
      <w:r w:rsidRPr="00067ABB">
        <w:rPr>
          <w:rFonts w:ascii="Arial" w:eastAsia="Calibri" w:hAnsi="Arial"/>
          <w:sz w:val="28"/>
          <w:lang w:val="sr-Cyrl-RS"/>
        </w:rPr>
        <w:t xml:space="preserve">из </w:t>
      </w:r>
      <w:r w:rsidR="001110D5" w:rsidRPr="00067ABB">
        <w:rPr>
          <w:rFonts w:ascii="Arial" w:eastAsia="Calibri" w:hAnsi="Arial"/>
          <w:sz w:val="28"/>
          <w:lang w:val="sr-Cyrl-RS"/>
        </w:rPr>
        <w:t xml:space="preserve">прилога </w:t>
      </w:r>
      <w:r w:rsidRPr="00067ABB">
        <w:rPr>
          <w:rFonts w:ascii="Arial" w:eastAsia="Calibri" w:hAnsi="Arial"/>
          <w:sz w:val="28"/>
          <w:lang w:val="sr-Cyrl-RS"/>
        </w:rPr>
        <w:t>1 и 2 ове одлуке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(у даљем тексту: образац ПУН) за појединачне услуге с </w:t>
      </w:r>
      <w:r w:rsidR="00E55B31">
        <w:rPr>
          <w:rFonts w:ascii="Arial" w:eastAsia="Times New Roman" w:hAnsi="Arial" w:cs="Times New Roman"/>
          <w:sz w:val="28"/>
          <w:szCs w:val="24"/>
          <w:lang w:val="sr-Cyrl-RS"/>
        </w:rPr>
        <w:t>л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исте репрезентативних услуга (у даљем тексту: Листа) прикаже само накнаде које су </w:t>
      </w:r>
      <w:r w:rsidR="001110D5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утврђене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у овом прилогу.</w:t>
      </w:r>
    </w:p>
    <w:p w14:paraId="66F933EC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Вођење платног рачуна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приказују се накнада за отварање платног рачуна и периодична (нпр. месечна) накнада за вођење платног рачуна, односно пакета услуга. </w:t>
      </w:r>
      <w:r w:rsidR="0040017D">
        <w:rPr>
          <w:rFonts w:ascii="Arial" w:eastAsia="Times New Roman" w:hAnsi="Arial" w:cs="Times New Roman"/>
          <w:sz w:val="28"/>
          <w:szCs w:val="24"/>
          <w:lang w:val="sr-Cyrl-RS"/>
        </w:rPr>
        <w:t>У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обрасцу ПУН за правно </w:t>
      </w:r>
      <w:r w:rsidR="00AC19DB" w:rsidRPr="00067ABB">
        <w:rPr>
          <w:rFonts w:ascii="Arial" w:eastAsia="Times New Roman" w:hAnsi="Arial" w:cs="Times New Roman"/>
          <w:sz w:val="28"/>
          <w:szCs w:val="24"/>
          <w:lang w:val="sr-Cyrl-RS"/>
        </w:rPr>
        <w:t>л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ице приказује се и накнада за гашење платног рачуна.</w:t>
      </w:r>
    </w:p>
    <w:p w14:paraId="0149DD13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Електронско банкарство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приказује се укупна накнада за успостављање услуге и периодична (нпр. месечна, годишња) накнада за коришћење ове услуге.</w:t>
      </w:r>
    </w:p>
    <w:p w14:paraId="09B2CA71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Мобилно банкарство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приказује се укупна накнада за успостављање услуге и периодична (нпр. месечна, годишња) накнада за коришћење ове услуге.</w:t>
      </w:r>
    </w:p>
    <w:p w14:paraId="2B0D0ECB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Безготовински пренос новчаних средстава у динарима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у Републици Србији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накнада се приказује на начин предвиђен у елементима обрасца ПУН.</w:t>
      </w:r>
      <w:r w:rsidR="00151E3A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Накнаде за ову услугу приказују </w:t>
      </w:r>
      <w:r w:rsidR="0040017D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се </w:t>
      </w:r>
      <w:r w:rsidR="00151E3A" w:rsidRPr="00067ABB">
        <w:rPr>
          <w:rFonts w:ascii="Arial" w:eastAsia="Times New Roman" w:hAnsi="Arial" w:cs="Times New Roman"/>
          <w:sz w:val="28"/>
          <w:szCs w:val="24"/>
          <w:lang w:val="sr-Cyrl-RS"/>
        </w:rPr>
        <w:t>само за трансакције код којих је прималац плаћања резидент.</w:t>
      </w:r>
      <w:r w:rsidR="0040017D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3336E1" w:rsidRPr="00067ABB">
        <w:rPr>
          <w:rFonts w:ascii="Arial" w:eastAsia="Times New Roman" w:hAnsi="Arial" w:cs="Times New Roman"/>
          <w:sz w:val="28"/>
          <w:szCs w:val="24"/>
          <w:lang w:val="sr-Cyrl-RS"/>
        </w:rPr>
        <w:t>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ко наплаћује различите накнаде и према томе да ли је прималац плаћања потрошач или предузетник и/или правно лице</w:t>
      </w:r>
      <w:r w:rsidR="0040017D">
        <w:rPr>
          <w:rFonts w:ascii="Arial" w:eastAsia="Times New Roman" w:hAnsi="Arial" w:cs="Times New Roman"/>
          <w:sz w:val="28"/>
          <w:szCs w:val="24"/>
          <w:lang w:val="sr-Cyrl-RS"/>
        </w:rPr>
        <w:t xml:space="preserve"> или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према износу трансакције безготовинског преноса новчаних средстава</w:t>
      </w:r>
      <w:r w:rsidR="0040017D">
        <w:rPr>
          <w:rFonts w:ascii="Arial" w:eastAsia="Times New Roman" w:hAnsi="Arial" w:cs="Times New Roman"/>
          <w:sz w:val="28"/>
          <w:szCs w:val="24"/>
          <w:lang w:val="sr-Cyrl-RS"/>
        </w:rPr>
        <w:t xml:space="preserve"> –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пружалац платних услуга приказује посебно и те накнаде. </w:t>
      </w:r>
    </w:p>
    <w:p w14:paraId="2EFD5A80" w14:textId="77777777" w:rsidR="00AA0E0A" w:rsidRPr="00067ABB" w:rsidRDefault="00AA0E0A" w:rsidP="00392F4B">
      <w:pPr>
        <w:spacing w:after="240" w:line="240" w:lineRule="auto"/>
        <w:ind w:firstLine="72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Пружалац платних услуга приказује посебно и накнаду за безготовински пренос који се извршава као хитан, односно као инстант трансфер одобрења.</w:t>
      </w:r>
    </w:p>
    <w:p w14:paraId="4885AD0A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Безготовински пренос новчаних средстава у еврима са девизног текућег рачуна у еврима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накнада се приказује </w:t>
      </w:r>
      <w:r w:rsidR="002D475A" w:rsidRPr="00067ABB">
        <w:rPr>
          <w:rFonts w:ascii="Arial" w:eastAsia="Times New Roman" w:hAnsi="Arial" w:cs="Times New Roman"/>
          <w:sz w:val="28"/>
          <w:szCs w:val="24"/>
          <w:lang w:val="sr-Cyrl-RS"/>
        </w:rPr>
        <w:t>на начин предвиђен у елементима обрасца ПУН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. Пружалац платних услуга за ову услугу приказује и накнаде у складу са осталим поделама предвиђеним тачком 5. </w:t>
      </w:r>
      <w:r w:rsidR="002E11A0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овог прилога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у мери у којој је то применљиво. </w:t>
      </w:r>
    </w:p>
    <w:p w14:paraId="4B4C343B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Пријем новчаних средстава из иностранства на девизни текући рачун у еврима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приказују се накнаде које се наплаћују кориснику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lastRenderedPageBreak/>
        <w:t xml:space="preserve">платних услуга при </w:t>
      </w:r>
      <w:r w:rsidR="0040017D" w:rsidRPr="00067ABB">
        <w:rPr>
          <w:rFonts w:ascii="Arial" w:eastAsia="Times New Roman" w:hAnsi="Arial" w:cs="Times New Roman"/>
          <w:sz w:val="28"/>
          <w:szCs w:val="24"/>
          <w:lang w:val="sr-Cyrl-RS"/>
        </w:rPr>
        <w:t>одобравањ</w:t>
      </w:r>
      <w:r w:rsidR="0040017D">
        <w:rPr>
          <w:rFonts w:ascii="Arial" w:eastAsia="Times New Roman" w:hAnsi="Arial" w:cs="Times New Roman"/>
          <w:sz w:val="28"/>
          <w:szCs w:val="24"/>
          <w:lang w:val="sr-Cyrl-RS"/>
        </w:rPr>
        <w:t>у</w:t>
      </w:r>
      <w:r w:rsidR="0040017D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његовог девизног текућег рачуна по основу платне трансакције коју је иницирао платилац из иностранства.</w:t>
      </w:r>
    </w:p>
    <w:p w14:paraId="457CAAA1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Трајни налог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40017D" w:rsidRPr="00067ABB">
        <w:rPr>
          <w:rFonts w:ascii="Arial" w:eastAsia="Times New Roman" w:hAnsi="Arial" w:cs="Times New Roman"/>
          <w:sz w:val="28"/>
          <w:szCs w:val="24"/>
          <w:lang w:val="sr-Cyrl-RS"/>
        </w:rPr>
        <w:t>приказуј</w:t>
      </w:r>
      <w:r w:rsidR="0040017D">
        <w:rPr>
          <w:rFonts w:ascii="Arial" w:eastAsia="Times New Roman" w:hAnsi="Arial" w:cs="Times New Roman"/>
          <w:sz w:val="28"/>
          <w:szCs w:val="24"/>
          <w:lang w:val="sr-Cyrl-RS"/>
        </w:rPr>
        <w:t>у</w:t>
      </w:r>
      <w:r w:rsidR="0040017D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се накнада за успостављање, односно коришћење услуге и накнада за </w:t>
      </w:r>
      <w:r w:rsidR="0040017D" w:rsidRPr="00067ABB">
        <w:rPr>
          <w:rFonts w:ascii="Arial" w:eastAsia="Times New Roman" w:hAnsi="Arial" w:cs="Times New Roman"/>
          <w:sz w:val="28"/>
          <w:szCs w:val="24"/>
          <w:lang w:val="sr-Cyrl-RS"/>
        </w:rPr>
        <w:t>изврш</w:t>
      </w:r>
      <w:r w:rsidR="0040017D">
        <w:rPr>
          <w:rFonts w:ascii="Arial" w:eastAsia="Times New Roman" w:hAnsi="Arial" w:cs="Times New Roman"/>
          <w:sz w:val="28"/>
          <w:szCs w:val="24"/>
          <w:lang w:val="sr-Cyrl-RS"/>
        </w:rPr>
        <w:t>е</w:t>
      </w:r>
      <w:r w:rsidR="0040017D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ње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трансакције на основу трајног налога, а накнада се приказује најмање у зависности од тога на рачун ког примаоца плаћања се врши пренос новчаних средстава употребом трајног налога (нпр. на рачун код истог или код другог пружаоца платних услуга).</w:t>
      </w:r>
    </w:p>
    <w:p w14:paraId="5AAAAB3E" w14:textId="77777777" w:rsidR="00CF4FF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Директно задужење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40017D" w:rsidRPr="00067ABB">
        <w:rPr>
          <w:rFonts w:ascii="Arial" w:eastAsia="Times New Roman" w:hAnsi="Arial" w:cs="Times New Roman"/>
          <w:sz w:val="28"/>
          <w:szCs w:val="24"/>
          <w:lang w:val="sr-Cyrl-RS"/>
        </w:rPr>
        <w:t>приказуј</w:t>
      </w:r>
      <w:r w:rsidR="0040017D">
        <w:rPr>
          <w:rFonts w:ascii="Arial" w:eastAsia="Times New Roman" w:hAnsi="Arial" w:cs="Times New Roman"/>
          <w:sz w:val="28"/>
          <w:szCs w:val="24"/>
          <w:lang w:val="sr-Cyrl-RS"/>
        </w:rPr>
        <w:t>у</w:t>
      </w:r>
      <w:r w:rsidR="0040017D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се накнада за успостављање, односно коришћење услуге и накнада за извршавање трансакције на основу директног задужења, а накнада се приказује најмање у зависности од тога на рачун ког примаоца плаћања се врши пренос новчаних средстава употребом директног задужења (нпр. на рачун код истог или код другог пружаоца платних услуга).</w:t>
      </w:r>
    </w:p>
    <w:p w14:paraId="607851AC" w14:textId="057ADF99" w:rsidR="00CF4FFA" w:rsidRPr="00067ABB" w:rsidRDefault="00CF4FF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6305AF">
        <w:rPr>
          <w:rFonts w:ascii="Arial" w:eastAsia="Times New Roman" w:hAnsi="Arial" w:cs="Times New Roman"/>
          <w:i/>
          <w:sz w:val="28"/>
          <w:szCs w:val="24"/>
          <w:lang w:val="sr-Cyrl-RS"/>
        </w:rPr>
        <w:t>Издавање чекова</w:t>
      </w:r>
      <w:r w:rsidRPr="006305AF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приказује се накнада за издавање чековних бланкета</w:t>
      </w:r>
      <w:r w:rsidR="005F166A" w:rsidRPr="0062226A">
        <w:rPr>
          <w:rFonts w:ascii="Arial" w:hAnsi="Arial"/>
          <w:sz w:val="28"/>
          <w:lang w:val="sr-Cyrl-RS"/>
        </w:rPr>
        <w:t>.</w:t>
      </w:r>
    </w:p>
    <w:p w14:paraId="02E21FC3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Издавање дебитне картице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приказује се накнада за издавање те картице и периодична (нпр. месечна, годишња) чланарина за коришћење ове услуге. У обрасцу ПУН приказуј</w:t>
      </w:r>
      <w:r w:rsidR="00186FBD" w:rsidRPr="00067ABB">
        <w:rPr>
          <w:rFonts w:ascii="Arial" w:eastAsia="Times New Roman" w:hAnsi="Arial" w:cs="Times New Roman"/>
          <w:sz w:val="28"/>
          <w:szCs w:val="24"/>
          <w:lang w:val="sr-Cyrl-RS"/>
        </w:rPr>
        <w:t>у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се </w:t>
      </w:r>
      <w:r w:rsidR="00186FBD" w:rsidRPr="00067ABB">
        <w:rPr>
          <w:rFonts w:ascii="Arial" w:eastAsia="Times New Roman" w:hAnsi="Arial" w:cs="Times New Roman"/>
          <w:sz w:val="28"/>
          <w:szCs w:val="24"/>
          <w:lang w:val="sr-Cyrl-RS"/>
        </w:rPr>
        <w:t>подаци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за дебитну картицу коју је пружалац платних услуга дужан да изда у складу са законом којим се уређују међубанкарска накнада и посебна правила пословања код платних трансакција на основу платних картица, као и за дебитну картицу коју пружалац платних услуга најчешће издаје на захтев корисника платних услуга уз овај платни рачун, односно пакет услуга. </w:t>
      </w:r>
    </w:p>
    <w:p w14:paraId="37E91B03" w14:textId="77777777" w:rsidR="00AA0E0A" w:rsidRPr="00067ABB" w:rsidRDefault="00AA0E0A" w:rsidP="00164294">
      <w:pPr>
        <w:spacing w:after="240" w:line="240" w:lineRule="auto"/>
        <w:ind w:firstLine="851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У обрасцу ПУН не приказују се накнаде за издавање додатних платних картица (нпр. за овлашћена лица).</w:t>
      </w:r>
    </w:p>
    <w:p w14:paraId="04BE0B27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426163">
        <w:rPr>
          <w:rFonts w:ascii="Arial" w:eastAsia="Times New Roman" w:hAnsi="Arial" w:cs="Times New Roman"/>
          <w:i/>
          <w:sz w:val="28"/>
          <w:szCs w:val="24"/>
          <w:lang w:val="sr-Cyrl-RS"/>
        </w:rPr>
        <w:t>Издавање кредитне картице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40394B" w:rsidRPr="00067ABB">
        <w:rPr>
          <w:rFonts w:ascii="Arial" w:eastAsia="Times New Roman" w:hAnsi="Arial" w:cs="Times New Roman"/>
          <w:sz w:val="28"/>
          <w:szCs w:val="24"/>
          <w:lang w:val="sr-Cyrl-RS"/>
        </w:rPr>
        <w:t>приказуј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у</w:t>
      </w:r>
      <w:r w:rsidR="0040394B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се накнада за издавање те картице и периодична (нпр. месечна, годишња) чланарина за коришћење ове услуге. У обрасцу ПУН приказује се накнада за кредитну картицу коју пружалац платних услуга најчешће издаје на захтев корисника платних услуга уз овај платни рачун, односно пакет услуга.</w:t>
      </w:r>
    </w:p>
    <w:p w14:paraId="09BE7F1C" w14:textId="77777777" w:rsidR="00AA0E0A" w:rsidRPr="00067ABB" w:rsidRDefault="00AA0E0A" w:rsidP="00164294">
      <w:pPr>
        <w:spacing w:after="240" w:line="240" w:lineRule="auto"/>
        <w:ind w:firstLine="851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У обрасцу ПУН не приказују се накнаде за издавање додатних платних картица (нпр. за овлашћена лица).</w:t>
      </w:r>
    </w:p>
    <w:p w14:paraId="6C1F0187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Исплата готовог новца коришћењем платне картице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накнада се приказује најмање према томе да ли се исплата врши дебитном или кредитном картицом, за картице из тач. 11. и 12. овог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lastRenderedPageBreak/>
        <w:t xml:space="preserve">прилога, да ли се исплата обавља у земљи или иностранству и да ли се исплата обавља на банкомату или 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 xml:space="preserve">на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шалтеру. 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ко наплаћује различите накнаде и према томе да ли се исплата обавља на банкомату и/или шалтеру пружаоца платних услуга који је издао картицу или неког другог пружаоца платних услуга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 xml:space="preserve"> –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пружалац платних услуга приказује посебно и те накнаде.</w:t>
      </w:r>
    </w:p>
    <w:p w14:paraId="7C8A8642" w14:textId="77777777" w:rsidR="009C20BA" w:rsidRPr="00067ABB" w:rsidRDefault="00672060" w:rsidP="00164294">
      <w:pPr>
        <w:spacing w:after="240" w:line="240" w:lineRule="auto"/>
        <w:ind w:firstLine="851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У случају исплате готовог новца коришћењем кредитне картице приказују се и номинална и ефективна годишња каматна стопа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уз навођење да ли је каматна стопа фиксна или променљива и метода који се примењује код обрачуна камате (нпр. конформни, пропорционални)</w:t>
      </w:r>
      <w:r w:rsidR="004D60D8" w:rsidRPr="00067ABB">
        <w:rPr>
          <w:rFonts w:ascii="Arial" w:eastAsia="Times New Roman" w:hAnsi="Arial" w:cs="Times New Roman"/>
          <w:sz w:val="28"/>
          <w:szCs w:val="24"/>
          <w:lang w:val="sr-Cyrl-RS"/>
        </w:rPr>
        <w:t>, као и друге</w:t>
      </w:r>
      <w:r w:rsidR="00E51375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врсте</w:t>
      </w:r>
      <w:r w:rsidR="004D60D8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накнад</w:t>
      </w:r>
      <w:r w:rsidR="00E51375" w:rsidRPr="00067ABB">
        <w:rPr>
          <w:rFonts w:ascii="Arial" w:eastAsia="Times New Roman" w:hAnsi="Arial" w:cs="Times New Roman"/>
          <w:sz w:val="28"/>
          <w:szCs w:val="24"/>
          <w:lang w:val="sr-Cyrl-RS"/>
        </w:rPr>
        <w:t>а које пружалац платних услуга наплаћује кориснику платних</w:t>
      </w:r>
      <w:r w:rsidR="00CD70E0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E51375" w:rsidRPr="00067ABB">
        <w:rPr>
          <w:rFonts w:ascii="Arial" w:eastAsia="Times New Roman" w:hAnsi="Arial" w:cs="Times New Roman"/>
          <w:sz w:val="28"/>
          <w:szCs w:val="24"/>
          <w:lang w:val="sr-Cyrl-RS"/>
        </w:rPr>
        <w:t>услуга за искоришћена новчана средства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. У случају променљиве номиналне каматне стопе, наводи се описно од ког уговореног променљивог елемента се састоји та стопа, као и фиксни елемент стопе, 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ако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је предвиђен.</w:t>
      </w:r>
    </w:p>
    <w:p w14:paraId="694D99AB" w14:textId="4012A87D" w:rsidR="00B45112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425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 xml:space="preserve">Плаћање </w:t>
      </w:r>
      <w:r w:rsidR="0074034B">
        <w:rPr>
          <w:rFonts w:ascii="Arial" w:eastAsia="Times New Roman" w:hAnsi="Arial" w:cs="Times New Roman"/>
          <w:i/>
          <w:sz w:val="28"/>
          <w:szCs w:val="24"/>
          <w:lang w:val="sr-Cyrl-RS"/>
        </w:rPr>
        <w:t>кредитном</w:t>
      </w:r>
      <w:r w:rsidR="0074034B"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 xml:space="preserve">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картицом на продајном месту трговца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C674FB" w:rsidRPr="00067ABB">
        <w:rPr>
          <w:rFonts w:ascii="Arial" w:eastAsia="Times New Roman" w:hAnsi="Arial" w:cs="Times New Roman"/>
          <w:sz w:val="28"/>
          <w:szCs w:val="24"/>
          <w:lang w:val="sr-Cyrl-RS"/>
        </w:rPr>
        <w:t>приказуј</w:t>
      </w:r>
      <w:r w:rsidR="0074034B">
        <w:rPr>
          <w:rFonts w:ascii="Arial" w:eastAsia="Times New Roman" w:hAnsi="Arial" w:cs="Times New Roman"/>
          <w:sz w:val="28"/>
          <w:szCs w:val="24"/>
          <w:lang w:val="sr-Cyrl-RS"/>
        </w:rPr>
        <w:t>у</w:t>
      </w:r>
      <w:r w:rsidR="00C674FB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се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накнада</w:t>
      </w:r>
      <w:r w:rsidR="00C674FB" w:rsidRPr="00067ABB">
        <w:rPr>
          <w:lang w:val="sr-Cyrl-RS"/>
        </w:rPr>
        <w:t xml:space="preserve"> </w:t>
      </w:r>
      <w:r w:rsidR="00C674FB" w:rsidRPr="00067ABB">
        <w:rPr>
          <w:rFonts w:ascii="Arial" w:eastAsia="Times New Roman" w:hAnsi="Arial" w:cs="Times New Roman"/>
          <w:sz w:val="28"/>
          <w:szCs w:val="24"/>
          <w:lang w:val="sr-Cyrl-RS"/>
        </w:rPr>
        <w:t>по извршеној трансакцији на продајном месту трговца</w:t>
      </w:r>
      <w:r w:rsidR="00BE6E7D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="00923079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номинална и ефективна годишња каматна стопа</w:t>
      </w:r>
      <w:r w:rsidR="0062226A">
        <w:rPr>
          <w:rFonts w:ascii="Arial" w:eastAsia="Times New Roman" w:hAnsi="Arial" w:cs="Times New Roman"/>
          <w:sz w:val="28"/>
          <w:szCs w:val="24"/>
          <w:lang w:val="sr-Latn-RS"/>
        </w:rPr>
        <w:t>,</w:t>
      </w:r>
      <w:r w:rsidR="00923079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уз навођење да ли је каматна стопа фиксна или променљива и метода који се примењује код обрачуна камате (нпр. конформни, пропорционални)</w:t>
      </w:r>
      <w:r w:rsidR="00B45112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, као и </w:t>
      </w:r>
      <w:r w:rsidR="00E51375" w:rsidRPr="00067ABB">
        <w:rPr>
          <w:rFonts w:ascii="Arial" w:eastAsia="Times New Roman" w:hAnsi="Arial" w:cs="Times New Roman"/>
          <w:sz w:val="28"/>
          <w:szCs w:val="24"/>
          <w:lang w:val="sr-Cyrl-RS"/>
        </w:rPr>
        <w:t>друге врсте накнада које пружалац платних услуга наплаћује кориснику платних</w:t>
      </w:r>
      <w:r w:rsidR="00BE6E7D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E51375" w:rsidRPr="00067ABB">
        <w:rPr>
          <w:rFonts w:ascii="Arial" w:eastAsia="Times New Roman" w:hAnsi="Arial" w:cs="Times New Roman"/>
          <w:sz w:val="28"/>
          <w:szCs w:val="24"/>
          <w:lang w:val="sr-Cyrl-RS"/>
        </w:rPr>
        <w:t>услуга за искоришћена новчана средства</w:t>
      </w:r>
      <w:r w:rsidR="00B45112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. У случају променљиве номиналне каматне стопе, наводи се описно од ког уговореног променљивог елемента се састоји та стопа, као и фиксни елемент стопе, 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ако</w:t>
      </w:r>
      <w:r w:rsidR="00B45112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је предвиђен.</w:t>
      </w:r>
    </w:p>
    <w:p w14:paraId="610D3386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426163">
        <w:rPr>
          <w:rFonts w:ascii="Arial" w:eastAsia="Times New Roman" w:hAnsi="Arial" w:cs="Times New Roman"/>
          <w:i/>
          <w:sz w:val="28"/>
          <w:szCs w:val="24"/>
          <w:lang w:val="sr-Cyrl-RS"/>
        </w:rPr>
        <w:t>Дозвољено прекорачење рачуна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приказује се накнада за успостављање, односно коришћење услуге (једнократно и/или периодично),</w:t>
      </w:r>
      <w:r w:rsidR="00CB2527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као и друге накнаде које се наплаћују за коришћење ове услуге. Поред наведеног, приказују се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и номинална</w:t>
      </w:r>
      <w:r w:rsidR="00672060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и ефективна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годишња каматна стопа на дозвољено прекорачење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уз навођење да ли је каматна стопа фиксна или променљива и метода који се примењује код обрачуна камате (нпр. конформни, пропорционални).</w:t>
      </w:r>
      <w:r w:rsidR="00AC53BA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У случају променљиве номиналне каматне стопе, наводи се описно од ког уговореног променљивог елемента се састоји та стопа, као и фиксни елемент стопе, 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ако</w:t>
      </w:r>
      <w:r w:rsidR="00AC53BA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је предвиђен.</w:t>
      </w:r>
    </w:p>
    <w:p w14:paraId="527E85ED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Исплата готовог новца с платног рачуна подношењем налога за исплату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приказује се накнада за исплату готовог новца са сопственог платног рачуна.</w:t>
      </w:r>
    </w:p>
    <w:p w14:paraId="5AE4C4AA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lastRenderedPageBreak/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 xml:space="preserve">Уплата готовог новца на платни рачун подношењем налога за уплату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приказује се накнада за уплату готовог новца на сопствени платни рачун.</w:t>
      </w:r>
    </w:p>
    <w:p w14:paraId="1559995C" w14:textId="77777777" w:rsidR="00AA0E0A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Прихватање платних картица на продајном месту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приказују се накнаде које пружалац платних услуга који је прихватилац наплаћује од трговца коме пружа услугу прихватања платних картица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и то </w:t>
      </w:r>
      <w:r w:rsidR="0040394B" w:rsidRPr="00067ABB">
        <w:rPr>
          <w:rFonts w:ascii="Arial" w:eastAsia="Times New Roman" w:hAnsi="Arial" w:cs="Times New Roman"/>
          <w:sz w:val="28"/>
          <w:szCs w:val="24"/>
          <w:lang w:val="sr-Cyrl-RS"/>
        </w:rPr>
        <w:t>трговачк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а</w:t>
      </w:r>
      <w:r w:rsidR="0040394B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накнад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а</w:t>
      </w:r>
      <w:r w:rsidR="0040394B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и </w:t>
      </w:r>
      <w:r w:rsidR="00C15837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друге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накнаде (нпр. накнада за коришћење ПОС терминала, накнада за коришћење </w:t>
      </w:r>
      <w:r w:rsidRPr="00426163">
        <w:rPr>
          <w:rFonts w:ascii="Arial" w:eastAsia="Times New Roman" w:hAnsi="Arial" w:cs="Times New Roman"/>
          <w:i/>
          <w:sz w:val="28"/>
          <w:szCs w:val="24"/>
          <w:lang w:val="sr-Cyrl-RS"/>
        </w:rPr>
        <w:t>IPG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–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</w:t>
      </w:r>
      <w:r w:rsidRPr="00426163">
        <w:rPr>
          <w:rFonts w:ascii="Arial" w:eastAsia="Times New Roman" w:hAnsi="Arial" w:cs="Times New Roman"/>
          <w:i/>
          <w:sz w:val="28"/>
          <w:szCs w:val="24"/>
          <w:lang w:val="sr-Cyrl-RS"/>
        </w:rPr>
        <w:t>Internet Payment Gateway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). Трговачку накнаду пружалац платних услуга приказује у распону од минималне до максималне, према томе да ли се прихват картица врши на физичком продајном месту или на интернету (електронска трговина), према томе да ли је пружалац платних услуга </w:t>
      </w:r>
      <w:r w:rsidR="00D9769E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истовремено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и прихватилац и издавалац картице која се прихвата, </w:t>
      </w:r>
      <w:r w:rsidR="00914591"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да ли је 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>издавалац платне картице која се прихвата други пружалац платних услуга из Републике Србије или из иностранства</w:t>
      </w:r>
      <w:r w:rsidR="0061425B" w:rsidRPr="00067ABB">
        <w:rPr>
          <w:rFonts w:ascii="Arial" w:eastAsia="Times New Roman" w:hAnsi="Arial" w:cs="Times New Roman"/>
          <w:sz w:val="28"/>
          <w:szCs w:val="24"/>
          <w:lang w:val="sr-Cyrl-RS"/>
        </w:rPr>
        <w:t>, као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и према картичном систему за који пружалац платних услуга пружа услугу прихватања платних картица. </w:t>
      </w:r>
    </w:p>
    <w:p w14:paraId="295D0B9B" w14:textId="77777777" w:rsidR="006254D8" w:rsidRPr="00067ABB" w:rsidRDefault="00AA0E0A" w:rsidP="00392F4B">
      <w:pPr>
        <w:pStyle w:val="ListParagraph"/>
        <w:numPr>
          <w:ilvl w:val="0"/>
          <w:numId w:val="1"/>
        </w:numPr>
        <w:spacing w:after="240" w:line="240" w:lineRule="auto"/>
        <w:ind w:left="0" w:firstLine="357"/>
        <w:contextualSpacing w:val="0"/>
        <w:jc w:val="both"/>
        <w:rPr>
          <w:rFonts w:ascii="Arial" w:eastAsia="Times New Roman" w:hAnsi="Arial" w:cs="Times New Roman"/>
          <w:sz w:val="28"/>
          <w:szCs w:val="24"/>
          <w:lang w:val="sr-Cyrl-RS"/>
        </w:rPr>
      </w:pP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За услугу </w:t>
      </w:r>
      <w:r w:rsidRPr="00067ABB">
        <w:rPr>
          <w:rFonts w:ascii="Arial" w:eastAsia="Times New Roman" w:hAnsi="Arial" w:cs="Times New Roman"/>
          <w:i/>
          <w:sz w:val="28"/>
          <w:szCs w:val="24"/>
          <w:lang w:val="sr-Cyrl-RS"/>
        </w:rPr>
        <w:t>Прихватање инстант трансфера одобрења на продајном месту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приказују се накнаде које пружалац платних услуга који је прихватилац наплаћује трговцу за услугу прихватања платног инструмента за извршење инстант трансфера одобрења</w:t>
      </w:r>
      <w:r w:rsidR="0040394B">
        <w:rPr>
          <w:rFonts w:ascii="Arial" w:eastAsia="Times New Roman" w:hAnsi="Arial" w:cs="Times New Roman"/>
          <w:sz w:val="28"/>
          <w:szCs w:val="24"/>
          <w:lang w:val="sr-Cyrl-RS"/>
        </w:rPr>
        <w:t>,</w:t>
      </w:r>
      <w:r w:rsidRPr="00067ABB">
        <w:rPr>
          <w:rFonts w:ascii="Arial" w:eastAsia="Times New Roman" w:hAnsi="Arial" w:cs="Times New Roman"/>
          <w:sz w:val="28"/>
          <w:szCs w:val="24"/>
          <w:lang w:val="sr-Cyrl-RS"/>
        </w:rPr>
        <w:t xml:space="preserve"> према томе да ли је пружалац платних услуга који је прихватилац уједно и издавалац тог инструмента или је издавалац тог инструмента други пружалац платних услуга.</w:t>
      </w:r>
    </w:p>
    <w:sectPr w:rsidR="006254D8" w:rsidRPr="00067ABB" w:rsidSect="00120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A893" w14:textId="77777777" w:rsidR="00BB6890" w:rsidRDefault="00BB6890" w:rsidP="00AA0E0A">
      <w:pPr>
        <w:spacing w:after="0" w:line="240" w:lineRule="auto"/>
      </w:pPr>
      <w:r>
        <w:separator/>
      </w:r>
    </w:p>
  </w:endnote>
  <w:endnote w:type="continuationSeparator" w:id="0">
    <w:p w14:paraId="4BEF26B3" w14:textId="77777777" w:rsidR="00BB6890" w:rsidRDefault="00BB6890" w:rsidP="00AA0E0A">
      <w:pPr>
        <w:spacing w:after="0" w:line="240" w:lineRule="auto"/>
      </w:pPr>
      <w:r>
        <w:continuationSeparator/>
      </w:r>
    </w:p>
  </w:endnote>
  <w:endnote w:type="continuationNotice" w:id="1">
    <w:p w14:paraId="64C15F02" w14:textId="77777777" w:rsidR="00BB6890" w:rsidRDefault="00BB6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C9C0" w14:textId="77777777" w:rsidR="000B6C40" w:rsidRDefault="000B6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FAA58" w14:textId="77777777" w:rsidR="000561D4" w:rsidRPr="000561D4" w:rsidRDefault="000561D4">
    <w:pPr>
      <w:pStyle w:val="Footer"/>
      <w:jc w:val="right"/>
      <w:rPr>
        <w:rFonts w:ascii="Arial" w:hAnsi="Arial" w:cs="Arial"/>
        <w:sz w:val="24"/>
      </w:rPr>
    </w:pPr>
  </w:p>
  <w:p w14:paraId="3EB6E4AF" w14:textId="77777777" w:rsidR="000561D4" w:rsidRDefault="00056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4A33" w14:textId="77777777" w:rsidR="00610F9C" w:rsidRPr="00610F9C" w:rsidRDefault="00610F9C">
    <w:pPr>
      <w:pStyle w:val="Footer"/>
      <w:jc w:val="right"/>
      <w:rPr>
        <w:rFonts w:ascii="Arial" w:hAnsi="Arial" w:cs="Arial"/>
        <w:sz w:val="24"/>
      </w:rPr>
    </w:pPr>
  </w:p>
  <w:p w14:paraId="24936C95" w14:textId="77777777" w:rsidR="00610F9C" w:rsidRDefault="0061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182F" w14:textId="77777777" w:rsidR="00BB6890" w:rsidRDefault="00BB6890" w:rsidP="00AA0E0A">
      <w:pPr>
        <w:spacing w:after="0" w:line="240" w:lineRule="auto"/>
      </w:pPr>
      <w:r>
        <w:separator/>
      </w:r>
    </w:p>
  </w:footnote>
  <w:footnote w:type="continuationSeparator" w:id="0">
    <w:p w14:paraId="4A95CACD" w14:textId="77777777" w:rsidR="00BB6890" w:rsidRDefault="00BB6890" w:rsidP="00AA0E0A">
      <w:pPr>
        <w:spacing w:after="0" w:line="240" w:lineRule="auto"/>
      </w:pPr>
      <w:r>
        <w:continuationSeparator/>
      </w:r>
    </w:p>
  </w:footnote>
  <w:footnote w:type="continuationNotice" w:id="1">
    <w:p w14:paraId="4BFD8241" w14:textId="77777777" w:rsidR="00BB6890" w:rsidRDefault="00BB68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1BD1" w14:textId="77777777" w:rsidR="000B6C40" w:rsidRDefault="000B6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0354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1930116" w14:textId="35F3ABCD" w:rsidR="009F1D12" w:rsidRPr="009F1D12" w:rsidRDefault="009F1D12">
        <w:pPr>
          <w:pStyle w:val="Header"/>
          <w:jc w:val="center"/>
          <w:rPr>
            <w:rFonts w:ascii="Arial" w:hAnsi="Arial" w:cs="Arial"/>
            <w:sz w:val="24"/>
          </w:rPr>
        </w:pPr>
        <w:r w:rsidRPr="009F1D12">
          <w:rPr>
            <w:rFonts w:ascii="Arial" w:hAnsi="Arial" w:cs="Arial"/>
            <w:sz w:val="24"/>
          </w:rPr>
          <w:fldChar w:fldCharType="begin"/>
        </w:r>
        <w:r w:rsidRPr="009F1D12">
          <w:rPr>
            <w:rFonts w:ascii="Arial" w:hAnsi="Arial" w:cs="Arial"/>
            <w:sz w:val="24"/>
          </w:rPr>
          <w:instrText xml:space="preserve"> PAGE   \* MERGEFORMAT </w:instrText>
        </w:r>
        <w:r w:rsidRPr="009F1D12">
          <w:rPr>
            <w:rFonts w:ascii="Arial" w:hAnsi="Arial" w:cs="Arial"/>
            <w:sz w:val="24"/>
          </w:rPr>
          <w:fldChar w:fldCharType="separate"/>
        </w:r>
        <w:r w:rsidR="008E1067">
          <w:rPr>
            <w:rFonts w:ascii="Arial" w:hAnsi="Arial" w:cs="Arial"/>
            <w:noProof/>
            <w:sz w:val="24"/>
          </w:rPr>
          <w:t>4</w:t>
        </w:r>
        <w:r w:rsidRPr="009F1D12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2F9DA9A5" w14:textId="77777777" w:rsidR="009F1D12" w:rsidRDefault="009F1D12" w:rsidP="009F1D1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B91A" w14:textId="51709250" w:rsidR="00F03939" w:rsidRPr="003E055F" w:rsidRDefault="003E055F" w:rsidP="003E055F">
    <w:pPr>
      <w:pStyle w:val="Header"/>
      <w:rPr>
        <w:rFonts w:ascii="Arial" w:hAnsi="Arial" w:cs="Arial"/>
        <w:sz w:val="28"/>
        <w:szCs w:val="28"/>
        <w:lang w:val="sr-Latn-RS"/>
      </w:rPr>
    </w:pPr>
    <w:r w:rsidRPr="002D62E1">
      <w:rPr>
        <w:rFonts w:ascii="Arial" w:hAnsi="Arial" w:cs="Arial"/>
        <w:sz w:val="28"/>
        <w:szCs w:val="28"/>
      </w:rPr>
      <w:ptab w:relativeTo="margin" w:alignment="center" w:leader="none"/>
    </w:r>
    <w:r w:rsidRPr="002D62E1">
      <w:rPr>
        <w:rFonts w:ascii="Arial" w:hAnsi="Arial" w:cs="Arial"/>
        <w:sz w:val="28"/>
        <w:szCs w:val="28"/>
      </w:rPr>
      <w:ptab w:relativeTo="margin" w:alignment="right" w:leader="none"/>
    </w:r>
    <w:r>
      <w:rPr>
        <w:rFonts w:ascii="Arial" w:hAnsi="Arial" w:cs="Arial"/>
        <w:sz w:val="28"/>
        <w:szCs w:val="28"/>
        <w:lang w:val="sr-Cyrl-RS"/>
      </w:rPr>
      <w:t>Прилог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8AA"/>
    <w:multiLevelType w:val="hybridMultilevel"/>
    <w:tmpl w:val="B1DA8AE0"/>
    <w:lvl w:ilvl="0" w:tplc="686C8C4C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3DB0"/>
    <w:multiLevelType w:val="hybridMultilevel"/>
    <w:tmpl w:val="A9549116"/>
    <w:lvl w:ilvl="0" w:tplc="09D819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0A"/>
    <w:rsid w:val="00012C7D"/>
    <w:rsid w:val="00022BAE"/>
    <w:rsid w:val="000561D4"/>
    <w:rsid w:val="00067ABB"/>
    <w:rsid w:val="000A3857"/>
    <w:rsid w:val="000B6C40"/>
    <w:rsid w:val="000F0C3E"/>
    <w:rsid w:val="001110D5"/>
    <w:rsid w:val="0011461B"/>
    <w:rsid w:val="00120184"/>
    <w:rsid w:val="00147EB0"/>
    <w:rsid w:val="00151E3A"/>
    <w:rsid w:val="00157133"/>
    <w:rsid w:val="00164294"/>
    <w:rsid w:val="00186FBD"/>
    <w:rsid w:val="001A11C0"/>
    <w:rsid w:val="001E6BB5"/>
    <w:rsid w:val="002A4C0D"/>
    <w:rsid w:val="002D475A"/>
    <w:rsid w:val="002E11A0"/>
    <w:rsid w:val="002E1D74"/>
    <w:rsid w:val="00301C22"/>
    <w:rsid w:val="00331211"/>
    <w:rsid w:val="003336E1"/>
    <w:rsid w:val="003536EF"/>
    <w:rsid w:val="00364F53"/>
    <w:rsid w:val="00392F4B"/>
    <w:rsid w:val="00396026"/>
    <w:rsid w:val="003D30B2"/>
    <w:rsid w:val="003D3F3A"/>
    <w:rsid w:val="003E055F"/>
    <w:rsid w:val="0040017D"/>
    <w:rsid w:val="0040394B"/>
    <w:rsid w:val="00426163"/>
    <w:rsid w:val="004B3FDE"/>
    <w:rsid w:val="004D60D8"/>
    <w:rsid w:val="004F418B"/>
    <w:rsid w:val="00543C96"/>
    <w:rsid w:val="00557060"/>
    <w:rsid w:val="00561177"/>
    <w:rsid w:val="005A2E83"/>
    <w:rsid w:val="005B1BD4"/>
    <w:rsid w:val="005D231D"/>
    <w:rsid w:val="005F166A"/>
    <w:rsid w:val="00610F9C"/>
    <w:rsid w:val="00614127"/>
    <w:rsid w:val="0061425B"/>
    <w:rsid w:val="00617EBE"/>
    <w:rsid w:val="0062226A"/>
    <w:rsid w:val="006254D8"/>
    <w:rsid w:val="006305AF"/>
    <w:rsid w:val="00656809"/>
    <w:rsid w:val="00672060"/>
    <w:rsid w:val="00683769"/>
    <w:rsid w:val="006A4781"/>
    <w:rsid w:val="006C746C"/>
    <w:rsid w:val="006E5A6F"/>
    <w:rsid w:val="00715CEC"/>
    <w:rsid w:val="0074034B"/>
    <w:rsid w:val="007A78CB"/>
    <w:rsid w:val="007B5B2A"/>
    <w:rsid w:val="007F2B4F"/>
    <w:rsid w:val="00814341"/>
    <w:rsid w:val="008847C6"/>
    <w:rsid w:val="008A716A"/>
    <w:rsid w:val="008C49E3"/>
    <w:rsid w:val="008D0A1F"/>
    <w:rsid w:val="008E1067"/>
    <w:rsid w:val="008F5CBE"/>
    <w:rsid w:val="00914591"/>
    <w:rsid w:val="00923079"/>
    <w:rsid w:val="00974330"/>
    <w:rsid w:val="009B2DB3"/>
    <w:rsid w:val="009C20BA"/>
    <w:rsid w:val="009F1D12"/>
    <w:rsid w:val="009F74DD"/>
    <w:rsid w:val="00A017D6"/>
    <w:rsid w:val="00A10E58"/>
    <w:rsid w:val="00A4681F"/>
    <w:rsid w:val="00A84223"/>
    <w:rsid w:val="00A97136"/>
    <w:rsid w:val="00AA0E0A"/>
    <w:rsid w:val="00AC19DB"/>
    <w:rsid w:val="00AC53BA"/>
    <w:rsid w:val="00AF420F"/>
    <w:rsid w:val="00B45112"/>
    <w:rsid w:val="00B46E8D"/>
    <w:rsid w:val="00B54A6E"/>
    <w:rsid w:val="00B773AB"/>
    <w:rsid w:val="00BB6890"/>
    <w:rsid w:val="00BE6E7D"/>
    <w:rsid w:val="00BF40E2"/>
    <w:rsid w:val="00C15837"/>
    <w:rsid w:val="00C52297"/>
    <w:rsid w:val="00C62104"/>
    <w:rsid w:val="00C62613"/>
    <w:rsid w:val="00C674FB"/>
    <w:rsid w:val="00C86622"/>
    <w:rsid w:val="00C90334"/>
    <w:rsid w:val="00CB2527"/>
    <w:rsid w:val="00CD70E0"/>
    <w:rsid w:val="00CF266C"/>
    <w:rsid w:val="00CF4FFA"/>
    <w:rsid w:val="00D316C2"/>
    <w:rsid w:val="00D8276A"/>
    <w:rsid w:val="00D9769E"/>
    <w:rsid w:val="00DC79DB"/>
    <w:rsid w:val="00E02387"/>
    <w:rsid w:val="00E342C7"/>
    <w:rsid w:val="00E51375"/>
    <w:rsid w:val="00E55B31"/>
    <w:rsid w:val="00E737DB"/>
    <w:rsid w:val="00EB1596"/>
    <w:rsid w:val="00F03939"/>
    <w:rsid w:val="00F20BA0"/>
    <w:rsid w:val="00F31153"/>
    <w:rsid w:val="00F51033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E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0A"/>
  </w:style>
  <w:style w:type="paragraph" w:styleId="Footer">
    <w:name w:val="footer"/>
    <w:basedOn w:val="Normal"/>
    <w:link w:val="FooterChar"/>
    <w:uiPriority w:val="99"/>
    <w:unhideWhenUsed/>
    <w:rsid w:val="00AA0E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0A"/>
  </w:style>
  <w:style w:type="character" w:styleId="CommentReference">
    <w:name w:val="annotation reference"/>
    <w:basedOn w:val="DefaultParagraphFont"/>
    <w:uiPriority w:val="99"/>
    <w:semiHidden/>
    <w:unhideWhenUsed/>
    <w:rsid w:val="006A4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7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1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A7FB-638D-4EF8-A278-78270A5F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6653</Characters>
  <Application>Microsoft Office Word</Application>
  <DocSecurity>0</DocSecurity>
  <Lines>135</Lines>
  <Paragraphs>27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2018-12-17T17:07:00Z</dcterms:created>
  <dcterms:modified xsi:type="dcterms:W3CDTF">2018-12-17T17:07:00Z</dcterms:modified>
</cp:coreProperties>
</file>