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E3520" w14:textId="77777777" w:rsidR="004B3FDE" w:rsidRDefault="004B3FDE" w:rsidP="00392F4B">
      <w:pPr>
        <w:jc w:val="center"/>
        <w:rPr>
          <w:rFonts w:ascii="Arial" w:hAnsi="Arial"/>
          <w:b/>
          <w:sz w:val="28"/>
        </w:rPr>
      </w:pPr>
      <w:bookmarkStart w:id="0" w:name="_GoBack"/>
      <w:bookmarkEnd w:id="0"/>
    </w:p>
    <w:p w14:paraId="52BD0FDE" w14:textId="290F6255" w:rsidR="00AA0E0A" w:rsidRPr="00067ABB" w:rsidRDefault="00AA0E0A" w:rsidP="00392F4B">
      <w:pPr>
        <w:jc w:val="center"/>
        <w:rPr>
          <w:rFonts w:ascii="Arial" w:hAnsi="Arial"/>
          <w:b/>
          <w:sz w:val="28"/>
        </w:rPr>
      </w:pPr>
      <w:r>
        <w:rPr>
          <w:rFonts w:ascii="Arial" w:hAnsi="Arial"/>
          <w:b/>
          <w:sz w:val="28"/>
        </w:rPr>
        <w:t xml:space="preserve">FEES FOR SERVICES FROM THE LIST OF REPRESENTATIVE SERVICES LINKED TO </w:t>
      </w:r>
      <w:r w:rsidR="00AD5B76">
        <w:rPr>
          <w:rFonts w:ascii="Arial" w:hAnsi="Arial"/>
          <w:b/>
          <w:sz w:val="28"/>
        </w:rPr>
        <w:t>THE</w:t>
      </w:r>
      <w:r>
        <w:rPr>
          <w:rFonts w:ascii="Arial" w:hAnsi="Arial"/>
          <w:b/>
          <w:sz w:val="28"/>
        </w:rPr>
        <w:t xml:space="preserve"> PAYMENT ACCOUNT</w:t>
      </w:r>
    </w:p>
    <w:p w14:paraId="3A16923D" w14:textId="77777777" w:rsidR="00AA0E0A" w:rsidRPr="00067ABB" w:rsidRDefault="00AA0E0A" w:rsidP="00392F4B">
      <w:pPr>
        <w:spacing w:line="240" w:lineRule="auto"/>
        <w:jc w:val="both"/>
        <w:rPr>
          <w:rFonts w:ascii="Arial" w:hAnsi="Arial"/>
          <w:sz w:val="28"/>
          <w:lang w:val="sr-Cyrl-RS"/>
        </w:rPr>
      </w:pPr>
    </w:p>
    <w:p w14:paraId="0EF4F8CB" w14:textId="41D78A1F" w:rsidR="002D475A" w:rsidRPr="003D71CB" w:rsidRDefault="00AA0E0A" w:rsidP="00392F4B">
      <w:pPr>
        <w:pStyle w:val="ListParagraph"/>
        <w:numPr>
          <w:ilvl w:val="0"/>
          <w:numId w:val="1"/>
        </w:numPr>
        <w:spacing w:after="240" w:line="240" w:lineRule="auto"/>
        <w:ind w:left="0" w:firstLine="357"/>
        <w:contextualSpacing w:val="0"/>
        <w:jc w:val="both"/>
        <w:rPr>
          <w:rFonts w:ascii="Arial" w:eastAsia="Times New Roman" w:hAnsi="Arial" w:cs="Times New Roman"/>
          <w:sz w:val="28"/>
          <w:szCs w:val="24"/>
          <w:lang w:eastAsia="en-US" w:bidi="ar-SA"/>
        </w:rPr>
      </w:pPr>
      <w:r w:rsidRPr="003D71CB">
        <w:rPr>
          <w:rFonts w:ascii="Arial" w:eastAsia="Times New Roman" w:hAnsi="Arial" w:cs="Times New Roman"/>
          <w:sz w:val="28"/>
          <w:szCs w:val="24"/>
          <w:lang w:eastAsia="en-US" w:bidi="ar-SA"/>
        </w:rPr>
        <w:t xml:space="preserve">A payment service provider shall on the corresponding form from Annexes 1 and 2 </w:t>
      </w:r>
      <w:r w:rsidR="006151DA" w:rsidRPr="003D71CB">
        <w:rPr>
          <w:rFonts w:ascii="Arial" w:eastAsia="Times New Roman" w:hAnsi="Arial" w:cs="Times New Roman"/>
          <w:sz w:val="28"/>
          <w:szCs w:val="24"/>
          <w:lang w:eastAsia="en-US" w:bidi="ar-SA"/>
        </w:rPr>
        <w:t xml:space="preserve">to </w:t>
      </w:r>
      <w:r w:rsidRPr="003D71CB">
        <w:rPr>
          <w:rFonts w:ascii="Arial" w:eastAsia="Times New Roman" w:hAnsi="Arial" w:cs="Times New Roman"/>
          <w:sz w:val="28"/>
          <w:szCs w:val="24"/>
          <w:lang w:eastAsia="en-US" w:bidi="ar-SA"/>
        </w:rPr>
        <w:t xml:space="preserve">this </w:t>
      </w:r>
      <w:r w:rsidR="006151DA" w:rsidRPr="003D71CB">
        <w:rPr>
          <w:rFonts w:ascii="Arial" w:eastAsia="Times New Roman" w:hAnsi="Arial" w:cs="Times New Roman"/>
          <w:sz w:val="28"/>
          <w:szCs w:val="24"/>
          <w:lang w:eastAsia="en-US" w:bidi="ar-SA"/>
        </w:rPr>
        <w:t>D</w:t>
      </w:r>
      <w:r w:rsidRPr="003D71CB">
        <w:rPr>
          <w:rFonts w:ascii="Arial" w:eastAsia="Times New Roman" w:hAnsi="Arial" w:cs="Times New Roman"/>
          <w:sz w:val="28"/>
          <w:szCs w:val="24"/>
          <w:lang w:eastAsia="en-US" w:bidi="ar-SA"/>
        </w:rPr>
        <w:t>ecision (hereinafter: PUN form) for individual services from the list of representative services (hereinafter: the List) disclose only fees that are established in this Annex.</w:t>
      </w:r>
    </w:p>
    <w:p w14:paraId="66F933EC" w14:textId="69B140DF" w:rsidR="00AA0E0A" w:rsidRPr="00067ABB" w:rsidRDefault="00AA0E0A" w:rsidP="00392F4B">
      <w:pPr>
        <w:pStyle w:val="ListParagraph"/>
        <w:numPr>
          <w:ilvl w:val="0"/>
          <w:numId w:val="1"/>
        </w:numPr>
        <w:spacing w:after="240" w:line="240" w:lineRule="auto"/>
        <w:ind w:left="0" w:firstLine="357"/>
        <w:contextualSpacing w:val="0"/>
        <w:jc w:val="both"/>
        <w:rPr>
          <w:rFonts w:ascii="Arial" w:eastAsia="Times New Roman" w:hAnsi="Arial" w:cs="Times New Roman"/>
          <w:sz w:val="28"/>
          <w:szCs w:val="24"/>
        </w:rPr>
      </w:pPr>
      <w:r>
        <w:rPr>
          <w:rFonts w:ascii="Arial" w:hAnsi="Arial"/>
          <w:sz w:val="28"/>
          <w:szCs w:val="24"/>
        </w:rPr>
        <w:t xml:space="preserve">For the service </w:t>
      </w:r>
      <w:r w:rsidR="00A673EE" w:rsidRPr="00A673EE">
        <w:rPr>
          <w:rFonts w:ascii="Arial" w:hAnsi="Arial"/>
          <w:i/>
          <w:sz w:val="28"/>
          <w:szCs w:val="24"/>
        </w:rPr>
        <w:t>P</w:t>
      </w:r>
      <w:r w:rsidRPr="00A673EE">
        <w:rPr>
          <w:rFonts w:ascii="Arial" w:hAnsi="Arial"/>
          <w:i/>
          <w:sz w:val="28"/>
          <w:szCs w:val="24"/>
        </w:rPr>
        <w:t>ayment account</w:t>
      </w:r>
      <w:r w:rsidR="00A673EE" w:rsidRPr="00A673EE">
        <w:rPr>
          <w:rFonts w:ascii="Arial" w:hAnsi="Arial"/>
          <w:i/>
          <w:sz w:val="28"/>
          <w:szCs w:val="24"/>
        </w:rPr>
        <w:t xml:space="preserve"> keeping</w:t>
      </w:r>
      <w:r>
        <w:rPr>
          <w:rFonts w:ascii="Arial" w:hAnsi="Arial"/>
          <w:sz w:val="28"/>
          <w:szCs w:val="24"/>
        </w:rPr>
        <w:t>, it shall disclose a fee for opening a payment account and a periodic (e.g. monthly) fee for keeping the account and/or a service package. In the PUN form for a legal person, it shall disclose a fee for closing a payment account.</w:t>
      </w:r>
    </w:p>
    <w:p w14:paraId="0149DD13" w14:textId="77777777" w:rsidR="00AA0E0A" w:rsidRPr="00067ABB" w:rsidRDefault="00AA0E0A" w:rsidP="00392F4B">
      <w:pPr>
        <w:pStyle w:val="ListParagraph"/>
        <w:numPr>
          <w:ilvl w:val="0"/>
          <w:numId w:val="1"/>
        </w:numPr>
        <w:spacing w:after="240" w:line="240" w:lineRule="auto"/>
        <w:ind w:left="0" w:firstLine="357"/>
        <w:contextualSpacing w:val="0"/>
        <w:jc w:val="both"/>
        <w:rPr>
          <w:rFonts w:ascii="Arial" w:eastAsia="Times New Roman" w:hAnsi="Arial" w:cs="Times New Roman"/>
          <w:sz w:val="28"/>
          <w:szCs w:val="24"/>
        </w:rPr>
      </w:pPr>
      <w:r>
        <w:rPr>
          <w:rFonts w:ascii="Arial" w:hAnsi="Arial"/>
          <w:sz w:val="28"/>
          <w:szCs w:val="24"/>
        </w:rPr>
        <w:t xml:space="preserve">For the service </w:t>
      </w:r>
      <w:r w:rsidRPr="00A673EE">
        <w:rPr>
          <w:rFonts w:ascii="Arial" w:hAnsi="Arial"/>
          <w:i/>
          <w:sz w:val="28"/>
          <w:szCs w:val="24"/>
        </w:rPr>
        <w:t>Electronic banking</w:t>
      </w:r>
      <w:r>
        <w:rPr>
          <w:rFonts w:ascii="Arial" w:hAnsi="Arial"/>
          <w:sz w:val="28"/>
          <w:szCs w:val="24"/>
        </w:rPr>
        <w:t>, it shall disclose a total fee for establishing the service and a periodic (e.g. monthly, annual) fee for using this service.</w:t>
      </w:r>
    </w:p>
    <w:p w14:paraId="09B2CA71" w14:textId="77777777" w:rsidR="00AA0E0A" w:rsidRPr="00067ABB" w:rsidRDefault="00AA0E0A" w:rsidP="00392F4B">
      <w:pPr>
        <w:pStyle w:val="ListParagraph"/>
        <w:numPr>
          <w:ilvl w:val="0"/>
          <w:numId w:val="1"/>
        </w:numPr>
        <w:spacing w:after="240" w:line="240" w:lineRule="auto"/>
        <w:ind w:left="0" w:firstLine="357"/>
        <w:contextualSpacing w:val="0"/>
        <w:jc w:val="both"/>
        <w:rPr>
          <w:rFonts w:ascii="Arial" w:eastAsia="Times New Roman" w:hAnsi="Arial" w:cs="Times New Roman"/>
          <w:sz w:val="28"/>
          <w:szCs w:val="24"/>
        </w:rPr>
      </w:pPr>
      <w:r>
        <w:rPr>
          <w:rFonts w:ascii="Arial" w:hAnsi="Arial"/>
          <w:sz w:val="28"/>
          <w:szCs w:val="24"/>
        </w:rPr>
        <w:t xml:space="preserve">For the service </w:t>
      </w:r>
      <w:r w:rsidRPr="00A673EE">
        <w:rPr>
          <w:rFonts w:ascii="Arial" w:hAnsi="Arial"/>
          <w:i/>
          <w:sz w:val="28"/>
          <w:szCs w:val="24"/>
        </w:rPr>
        <w:t>Mobile banking</w:t>
      </w:r>
      <w:r>
        <w:rPr>
          <w:rFonts w:ascii="Arial" w:hAnsi="Arial"/>
          <w:sz w:val="28"/>
          <w:szCs w:val="24"/>
        </w:rPr>
        <w:t>, it shall disclose a total fee for establishing the service and a periodic (e.g. monthly, annual) fee for using this service.</w:t>
      </w:r>
    </w:p>
    <w:p w14:paraId="2B0D0ECB" w14:textId="498F1331" w:rsidR="00AA0E0A" w:rsidRPr="00067ABB" w:rsidRDefault="00AA0E0A" w:rsidP="00392F4B">
      <w:pPr>
        <w:pStyle w:val="ListParagraph"/>
        <w:numPr>
          <w:ilvl w:val="0"/>
          <w:numId w:val="1"/>
        </w:numPr>
        <w:spacing w:after="240" w:line="240" w:lineRule="auto"/>
        <w:ind w:left="0" w:firstLine="357"/>
        <w:contextualSpacing w:val="0"/>
        <w:jc w:val="both"/>
        <w:rPr>
          <w:rFonts w:ascii="Arial" w:eastAsia="Times New Roman" w:hAnsi="Arial" w:cs="Times New Roman"/>
          <w:sz w:val="28"/>
          <w:szCs w:val="24"/>
        </w:rPr>
      </w:pPr>
      <w:r>
        <w:rPr>
          <w:rFonts w:ascii="Arial" w:hAnsi="Arial"/>
          <w:sz w:val="28"/>
          <w:szCs w:val="24"/>
        </w:rPr>
        <w:t xml:space="preserve">For the service </w:t>
      </w:r>
      <w:r w:rsidRPr="00A673EE">
        <w:rPr>
          <w:rFonts w:ascii="Arial" w:hAnsi="Arial"/>
          <w:i/>
          <w:sz w:val="28"/>
          <w:szCs w:val="24"/>
        </w:rPr>
        <w:t>Cashless transfer of dinar funds in the Republic of Serbia</w:t>
      </w:r>
      <w:r>
        <w:rPr>
          <w:rFonts w:ascii="Arial" w:hAnsi="Arial"/>
          <w:sz w:val="28"/>
          <w:szCs w:val="24"/>
        </w:rPr>
        <w:t xml:space="preserve">, it shall disclose a fee in the manner defined in the elements of the PUN form. The fee for this service shall be disclosed only for transactions in which the payee is a resident. If it charges various fees according to whether the payee is a consumer or an entrepreneur and/or a legal </w:t>
      </w:r>
      <w:r w:rsidR="003D71CB">
        <w:rPr>
          <w:rFonts w:ascii="Arial" w:hAnsi="Arial"/>
          <w:sz w:val="28"/>
          <w:szCs w:val="24"/>
        </w:rPr>
        <w:t>person</w:t>
      </w:r>
      <w:r>
        <w:rPr>
          <w:rFonts w:ascii="Arial" w:hAnsi="Arial"/>
          <w:sz w:val="28"/>
          <w:szCs w:val="24"/>
        </w:rPr>
        <w:t xml:space="preserve"> or according to the amount of the cashless transfer of funds </w:t>
      </w:r>
      <w:r w:rsidR="006151DA">
        <w:rPr>
          <w:rFonts w:ascii="Arial" w:hAnsi="Arial"/>
          <w:sz w:val="28"/>
          <w:szCs w:val="24"/>
        </w:rPr>
        <w:t xml:space="preserve">– </w:t>
      </w:r>
      <w:r>
        <w:rPr>
          <w:rFonts w:ascii="Arial" w:hAnsi="Arial"/>
          <w:sz w:val="28"/>
          <w:szCs w:val="24"/>
        </w:rPr>
        <w:t xml:space="preserve">the payment service provider shall disclose separately those fees as well. </w:t>
      </w:r>
    </w:p>
    <w:p w14:paraId="2EFD5A80" w14:textId="77777777" w:rsidR="00AA0E0A" w:rsidRPr="00067ABB" w:rsidRDefault="00AA0E0A" w:rsidP="00392F4B">
      <w:pPr>
        <w:spacing w:after="240" w:line="240" w:lineRule="auto"/>
        <w:ind w:firstLine="720"/>
        <w:jc w:val="both"/>
        <w:rPr>
          <w:rFonts w:ascii="Arial" w:eastAsia="Times New Roman" w:hAnsi="Arial" w:cs="Times New Roman"/>
          <w:sz w:val="28"/>
          <w:szCs w:val="24"/>
        </w:rPr>
      </w:pPr>
      <w:r>
        <w:rPr>
          <w:rFonts w:ascii="Arial" w:hAnsi="Arial"/>
          <w:sz w:val="28"/>
          <w:szCs w:val="24"/>
        </w:rPr>
        <w:t>The payment service provider shall disclose separately the fee for the cashless transfer that is executed as urgent and/or an instant credit transfer.</w:t>
      </w:r>
    </w:p>
    <w:p w14:paraId="4885AD0A" w14:textId="77777777" w:rsidR="00AA0E0A" w:rsidRPr="00067ABB" w:rsidRDefault="00AA0E0A" w:rsidP="00392F4B">
      <w:pPr>
        <w:pStyle w:val="ListParagraph"/>
        <w:numPr>
          <w:ilvl w:val="0"/>
          <w:numId w:val="1"/>
        </w:numPr>
        <w:spacing w:after="240" w:line="240" w:lineRule="auto"/>
        <w:ind w:left="0" w:firstLine="357"/>
        <w:contextualSpacing w:val="0"/>
        <w:jc w:val="both"/>
        <w:rPr>
          <w:rFonts w:ascii="Arial" w:eastAsia="Times New Roman" w:hAnsi="Arial" w:cs="Times New Roman"/>
          <w:sz w:val="28"/>
          <w:szCs w:val="24"/>
        </w:rPr>
      </w:pPr>
      <w:r>
        <w:rPr>
          <w:rFonts w:ascii="Arial" w:hAnsi="Arial"/>
          <w:sz w:val="28"/>
          <w:szCs w:val="24"/>
        </w:rPr>
        <w:t xml:space="preserve">For the service </w:t>
      </w:r>
      <w:r w:rsidRPr="00A673EE">
        <w:rPr>
          <w:rFonts w:ascii="Arial" w:hAnsi="Arial"/>
          <w:i/>
          <w:sz w:val="28"/>
          <w:szCs w:val="24"/>
        </w:rPr>
        <w:t>Cashless transfer of euro funds from the FX-current account in euros</w:t>
      </w:r>
      <w:r>
        <w:rPr>
          <w:rFonts w:ascii="Arial" w:hAnsi="Arial"/>
          <w:sz w:val="28"/>
          <w:szCs w:val="24"/>
        </w:rPr>
        <w:t xml:space="preserve">, it shall disclose a fee in the manner defined in the elements of the PUN form. The payment service provider for this service shall disclose the fees in accordance with other definitions referred to in Section 5 hereof to the extent possible. </w:t>
      </w:r>
    </w:p>
    <w:p w14:paraId="4B4C343B" w14:textId="727CD107" w:rsidR="00AA0E0A" w:rsidRPr="00067ABB" w:rsidRDefault="00AA0E0A" w:rsidP="00392F4B">
      <w:pPr>
        <w:pStyle w:val="ListParagraph"/>
        <w:numPr>
          <w:ilvl w:val="0"/>
          <w:numId w:val="1"/>
        </w:numPr>
        <w:spacing w:after="240" w:line="240" w:lineRule="auto"/>
        <w:ind w:left="0" w:firstLine="357"/>
        <w:contextualSpacing w:val="0"/>
        <w:jc w:val="both"/>
        <w:rPr>
          <w:rFonts w:ascii="Arial" w:eastAsia="Times New Roman" w:hAnsi="Arial" w:cs="Times New Roman"/>
          <w:sz w:val="28"/>
          <w:szCs w:val="24"/>
        </w:rPr>
      </w:pPr>
      <w:r>
        <w:rPr>
          <w:rFonts w:ascii="Arial" w:hAnsi="Arial"/>
          <w:sz w:val="28"/>
          <w:szCs w:val="24"/>
        </w:rPr>
        <w:t xml:space="preserve">For the service </w:t>
      </w:r>
      <w:r w:rsidRPr="00A673EE">
        <w:rPr>
          <w:rFonts w:ascii="Arial" w:hAnsi="Arial"/>
          <w:i/>
          <w:sz w:val="28"/>
          <w:szCs w:val="24"/>
        </w:rPr>
        <w:t>Receipt of funds from abroad to the FX-current account in euros</w:t>
      </w:r>
      <w:r>
        <w:rPr>
          <w:rFonts w:ascii="Arial" w:hAnsi="Arial"/>
          <w:sz w:val="28"/>
          <w:szCs w:val="24"/>
        </w:rPr>
        <w:t xml:space="preserve">, it shall disclose the fees that are charged to the payment service user when crediting its FX-current account under </w:t>
      </w:r>
      <w:r w:rsidR="00F22A96">
        <w:rPr>
          <w:rFonts w:ascii="Arial" w:hAnsi="Arial"/>
          <w:sz w:val="28"/>
          <w:szCs w:val="24"/>
        </w:rPr>
        <w:t xml:space="preserve">the </w:t>
      </w:r>
      <w:r>
        <w:rPr>
          <w:rFonts w:ascii="Arial" w:hAnsi="Arial"/>
          <w:sz w:val="28"/>
          <w:szCs w:val="24"/>
        </w:rPr>
        <w:t>payment transaction initiated by the payer from abroad.</w:t>
      </w:r>
    </w:p>
    <w:p w14:paraId="457CAAA1" w14:textId="58FFDA74" w:rsidR="00AA0E0A" w:rsidRPr="00067ABB" w:rsidRDefault="00AA0E0A" w:rsidP="00392F4B">
      <w:pPr>
        <w:pStyle w:val="ListParagraph"/>
        <w:numPr>
          <w:ilvl w:val="0"/>
          <w:numId w:val="1"/>
        </w:numPr>
        <w:spacing w:after="240"/>
        <w:ind w:left="0" w:firstLine="357"/>
        <w:contextualSpacing w:val="0"/>
        <w:jc w:val="both"/>
        <w:rPr>
          <w:rFonts w:ascii="Arial" w:eastAsia="Times New Roman" w:hAnsi="Arial" w:cs="Times New Roman"/>
          <w:sz w:val="28"/>
          <w:szCs w:val="24"/>
        </w:rPr>
      </w:pPr>
      <w:r>
        <w:rPr>
          <w:rFonts w:ascii="Arial" w:hAnsi="Arial"/>
          <w:sz w:val="28"/>
          <w:szCs w:val="24"/>
        </w:rPr>
        <w:lastRenderedPageBreak/>
        <w:t xml:space="preserve">For the service </w:t>
      </w:r>
      <w:r w:rsidRPr="00A673EE">
        <w:rPr>
          <w:rFonts w:ascii="Arial" w:hAnsi="Arial"/>
          <w:i/>
          <w:sz w:val="28"/>
          <w:szCs w:val="24"/>
        </w:rPr>
        <w:t>Standing order</w:t>
      </w:r>
      <w:r>
        <w:rPr>
          <w:rFonts w:ascii="Arial" w:hAnsi="Arial"/>
          <w:sz w:val="28"/>
          <w:szCs w:val="24"/>
        </w:rPr>
        <w:t xml:space="preserve">, it shall disclose the fee for establishing, i.e. using fees and commissions for executing transactions on the basis of a standing order, at least depending on the account of which payee the funds </w:t>
      </w:r>
      <w:r w:rsidR="006151DA">
        <w:rPr>
          <w:rFonts w:ascii="Arial" w:hAnsi="Arial"/>
          <w:sz w:val="28"/>
          <w:szCs w:val="24"/>
        </w:rPr>
        <w:t xml:space="preserve">are </w:t>
      </w:r>
      <w:r>
        <w:rPr>
          <w:rFonts w:ascii="Arial" w:hAnsi="Arial"/>
          <w:sz w:val="28"/>
          <w:szCs w:val="24"/>
        </w:rPr>
        <w:t>transferred using a standing order (e.g. on the account of the same or another payment service provider).</w:t>
      </w:r>
    </w:p>
    <w:p w14:paraId="5AAAAB3E" w14:textId="4BB5B717" w:rsidR="00CF4FFA" w:rsidRPr="00067ABB" w:rsidRDefault="00AA0E0A" w:rsidP="00392F4B">
      <w:pPr>
        <w:pStyle w:val="ListParagraph"/>
        <w:numPr>
          <w:ilvl w:val="0"/>
          <w:numId w:val="1"/>
        </w:numPr>
        <w:spacing w:after="240" w:line="240" w:lineRule="auto"/>
        <w:ind w:left="0" w:firstLine="357"/>
        <w:contextualSpacing w:val="0"/>
        <w:jc w:val="both"/>
        <w:rPr>
          <w:rFonts w:ascii="Arial" w:eastAsia="Times New Roman" w:hAnsi="Arial" w:cs="Times New Roman"/>
          <w:sz w:val="28"/>
          <w:szCs w:val="24"/>
        </w:rPr>
      </w:pPr>
      <w:r>
        <w:rPr>
          <w:rFonts w:ascii="Arial" w:hAnsi="Arial"/>
          <w:sz w:val="28"/>
          <w:szCs w:val="24"/>
        </w:rPr>
        <w:t xml:space="preserve">For the service </w:t>
      </w:r>
      <w:r w:rsidRPr="00A673EE">
        <w:rPr>
          <w:rFonts w:ascii="Arial" w:hAnsi="Arial"/>
          <w:i/>
          <w:sz w:val="28"/>
          <w:szCs w:val="24"/>
        </w:rPr>
        <w:t>Direct debits</w:t>
      </w:r>
      <w:r>
        <w:rPr>
          <w:rFonts w:ascii="Arial" w:hAnsi="Arial"/>
          <w:sz w:val="28"/>
          <w:szCs w:val="24"/>
        </w:rPr>
        <w:t xml:space="preserve">, it shall disclose a fee for establishing, i.e. using fees and commissions for executing transactions on the basis of a direct debit, at least depending on the account of which payee the funds </w:t>
      </w:r>
      <w:r w:rsidR="00F22A96">
        <w:rPr>
          <w:rFonts w:ascii="Arial" w:hAnsi="Arial"/>
          <w:sz w:val="28"/>
          <w:szCs w:val="24"/>
        </w:rPr>
        <w:t xml:space="preserve">are </w:t>
      </w:r>
      <w:r>
        <w:rPr>
          <w:rFonts w:ascii="Arial" w:hAnsi="Arial"/>
          <w:sz w:val="28"/>
          <w:szCs w:val="24"/>
        </w:rPr>
        <w:t>transferred using a direct debit (e.g. on the account of the same or another payment service provider).</w:t>
      </w:r>
    </w:p>
    <w:p w14:paraId="607851AC" w14:textId="0616E600" w:rsidR="00CF4FFA" w:rsidRPr="00067ABB" w:rsidRDefault="00CF4FFA" w:rsidP="00392F4B">
      <w:pPr>
        <w:pStyle w:val="ListParagraph"/>
        <w:numPr>
          <w:ilvl w:val="0"/>
          <w:numId w:val="1"/>
        </w:numPr>
        <w:spacing w:after="240" w:line="240" w:lineRule="auto"/>
        <w:ind w:left="0" w:firstLine="357"/>
        <w:contextualSpacing w:val="0"/>
        <w:jc w:val="both"/>
        <w:rPr>
          <w:rFonts w:ascii="Arial" w:eastAsia="Times New Roman" w:hAnsi="Arial" w:cs="Times New Roman"/>
          <w:sz w:val="28"/>
          <w:szCs w:val="24"/>
        </w:rPr>
      </w:pPr>
      <w:r>
        <w:rPr>
          <w:rFonts w:ascii="Arial" w:hAnsi="Arial"/>
          <w:sz w:val="28"/>
          <w:szCs w:val="24"/>
        </w:rPr>
        <w:t xml:space="preserve">For the service </w:t>
      </w:r>
      <w:r w:rsidRPr="00A673EE">
        <w:rPr>
          <w:rFonts w:ascii="Arial" w:hAnsi="Arial"/>
          <w:i/>
          <w:sz w:val="28"/>
          <w:szCs w:val="24"/>
        </w:rPr>
        <w:t>Cheque issuance</w:t>
      </w:r>
      <w:r w:rsidR="00A673EE">
        <w:rPr>
          <w:rFonts w:ascii="Arial" w:hAnsi="Arial"/>
          <w:sz w:val="28"/>
          <w:szCs w:val="24"/>
        </w:rPr>
        <w:t xml:space="preserve">, it </w:t>
      </w:r>
      <w:r>
        <w:rPr>
          <w:rFonts w:ascii="Arial" w:hAnsi="Arial"/>
          <w:sz w:val="28"/>
          <w:szCs w:val="24"/>
        </w:rPr>
        <w:t>shall disclose a fee for issuing a cheque book.</w:t>
      </w:r>
    </w:p>
    <w:p w14:paraId="02E21FC3" w14:textId="1ADAEB78" w:rsidR="00AA0E0A" w:rsidRPr="00067ABB" w:rsidRDefault="00AA0E0A" w:rsidP="00392F4B">
      <w:pPr>
        <w:pStyle w:val="ListParagraph"/>
        <w:numPr>
          <w:ilvl w:val="0"/>
          <w:numId w:val="1"/>
        </w:numPr>
        <w:spacing w:after="240" w:line="240" w:lineRule="auto"/>
        <w:ind w:left="0" w:firstLine="357"/>
        <w:contextualSpacing w:val="0"/>
        <w:jc w:val="both"/>
        <w:rPr>
          <w:rFonts w:ascii="Arial" w:eastAsia="Times New Roman" w:hAnsi="Arial" w:cs="Times New Roman"/>
          <w:sz w:val="28"/>
          <w:szCs w:val="24"/>
        </w:rPr>
      </w:pPr>
      <w:r>
        <w:rPr>
          <w:rFonts w:ascii="Arial" w:hAnsi="Arial"/>
          <w:sz w:val="28"/>
          <w:szCs w:val="24"/>
        </w:rPr>
        <w:t xml:space="preserve">For the service </w:t>
      </w:r>
      <w:r w:rsidRPr="00A673EE">
        <w:rPr>
          <w:rFonts w:ascii="Arial" w:hAnsi="Arial"/>
          <w:i/>
          <w:sz w:val="28"/>
          <w:szCs w:val="24"/>
        </w:rPr>
        <w:t>Debit card issuance</w:t>
      </w:r>
      <w:r>
        <w:rPr>
          <w:rFonts w:ascii="Arial" w:hAnsi="Arial"/>
          <w:sz w:val="28"/>
          <w:szCs w:val="24"/>
        </w:rPr>
        <w:t xml:space="preserve">, it shall disclose a fee for issuing that card and a periodic (e.g. monthly, annual) fee for using this service. The PUN form shall disclose data for a debit card that the payment service provider is obliged to issue in accordance with the law governing </w:t>
      </w:r>
      <w:r w:rsidR="006151DA">
        <w:rPr>
          <w:rFonts w:ascii="Arial" w:hAnsi="Arial"/>
          <w:sz w:val="28"/>
          <w:szCs w:val="24"/>
        </w:rPr>
        <w:t xml:space="preserve">multilateral </w:t>
      </w:r>
      <w:r>
        <w:rPr>
          <w:rFonts w:ascii="Arial" w:hAnsi="Arial"/>
          <w:sz w:val="28"/>
          <w:szCs w:val="24"/>
        </w:rPr>
        <w:t xml:space="preserve">interchange fees and special operating rules for card-based payment transactions, and for a debit card that the payment service provider </w:t>
      </w:r>
      <w:r w:rsidR="006151DA">
        <w:rPr>
          <w:rFonts w:ascii="Arial" w:hAnsi="Arial"/>
          <w:sz w:val="28"/>
          <w:szCs w:val="24"/>
        </w:rPr>
        <w:t xml:space="preserve">most </w:t>
      </w:r>
      <w:r>
        <w:rPr>
          <w:rFonts w:ascii="Arial" w:hAnsi="Arial"/>
          <w:sz w:val="28"/>
          <w:szCs w:val="24"/>
        </w:rPr>
        <w:t xml:space="preserve">usually issues at the request of the payment service user with this payment account, and/or a package of services. </w:t>
      </w:r>
    </w:p>
    <w:p w14:paraId="37E91B03" w14:textId="5B881C14" w:rsidR="00AA0E0A" w:rsidRPr="00067ABB" w:rsidRDefault="00AA0E0A" w:rsidP="00164294">
      <w:pPr>
        <w:spacing w:after="240" w:line="240" w:lineRule="auto"/>
        <w:ind w:firstLine="851"/>
        <w:jc w:val="both"/>
        <w:rPr>
          <w:rFonts w:ascii="Arial" w:eastAsia="Times New Roman" w:hAnsi="Arial" w:cs="Times New Roman"/>
          <w:sz w:val="28"/>
          <w:szCs w:val="24"/>
        </w:rPr>
      </w:pPr>
      <w:r>
        <w:rPr>
          <w:rFonts w:ascii="Arial" w:hAnsi="Arial"/>
          <w:sz w:val="28"/>
          <w:szCs w:val="24"/>
        </w:rPr>
        <w:t>The PUN form does not disclose fee</w:t>
      </w:r>
      <w:r w:rsidR="006151DA">
        <w:rPr>
          <w:rFonts w:ascii="Arial" w:hAnsi="Arial"/>
          <w:sz w:val="28"/>
          <w:szCs w:val="24"/>
        </w:rPr>
        <w:t>s</w:t>
      </w:r>
      <w:r>
        <w:rPr>
          <w:rFonts w:ascii="Arial" w:hAnsi="Arial"/>
          <w:sz w:val="28"/>
          <w:szCs w:val="24"/>
        </w:rPr>
        <w:t xml:space="preserve"> for issuing additional payment cards (e.g. for authorised persons).</w:t>
      </w:r>
    </w:p>
    <w:p w14:paraId="04BE0B27" w14:textId="0FAA2208" w:rsidR="00AA0E0A" w:rsidRPr="00067ABB" w:rsidRDefault="00AA0E0A" w:rsidP="00392F4B">
      <w:pPr>
        <w:pStyle w:val="ListParagraph"/>
        <w:numPr>
          <w:ilvl w:val="0"/>
          <w:numId w:val="1"/>
        </w:numPr>
        <w:spacing w:after="240" w:line="240" w:lineRule="auto"/>
        <w:ind w:left="0" w:firstLine="357"/>
        <w:contextualSpacing w:val="0"/>
        <w:jc w:val="both"/>
        <w:rPr>
          <w:rFonts w:ascii="Arial" w:eastAsia="Times New Roman" w:hAnsi="Arial" w:cs="Times New Roman"/>
          <w:sz w:val="28"/>
          <w:szCs w:val="24"/>
        </w:rPr>
      </w:pPr>
      <w:r>
        <w:rPr>
          <w:rFonts w:ascii="Arial" w:hAnsi="Arial"/>
          <w:sz w:val="28"/>
          <w:szCs w:val="24"/>
        </w:rPr>
        <w:t xml:space="preserve">For the service </w:t>
      </w:r>
      <w:r w:rsidRPr="00A673EE">
        <w:rPr>
          <w:rFonts w:ascii="Arial" w:hAnsi="Arial"/>
          <w:i/>
          <w:sz w:val="28"/>
          <w:szCs w:val="24"/>
        </w:rPr>
        <w:t>Credit card issuance</w:t>
      </w:r>
      <w:r>
        <w:rPr>
          <w:rFonts w:ascii="Arial" w:hAnsi="Arial"/>
          <w:sz w:val="28"/>
          <w:szCs w:val="24"/>
        </w:rPr>
        <w:t xml:space="preserve">, it shall disclose a fee for issuing that card and a periodic (e.g. monthly, annual) membership for using this service. The PUN form shall disclose the fee for the credit card that the payment service provider </w:t>
      </w:r>
      <w:r w:rsidR="006151DA">
        <w:rPr>
          <w:rFonts w:ascii="Arial" w:hAnsi="Arial"/>
          <w:sz w:val="28"/>
          <w:szCs w:val="24"/>
        </w:rPr>
        <w:t xml:space="preserve">most </w:t>
      </w:r>
      <w:r>
        <w:rPr>
          <w:rFonts w:ascii="Arial" w:hAnsi="Arial"/>
          <w:sz w:val="28"/>
          <w:szCs w:val="24"/>
        </w:rPr>
        <w:t>usually issues at the request of the payment service user with this payment account, and/or a package of services.</w:t>
      </w:r>
    </w:p>
    <w:p w14:paraId="09BE7F1C" w14:textId="0CE83C90" w:rsidR="00AA0E0A" w:rsidRPr="00067ABB" w:rsidRDefault="00AA0E0A" w:rsidP="00164294">
      <w:pPr>
        <w:spacing w:after="240" w:line="240" w:lineRule="auto"/>
        <w:ind w:firstLine="851"/>
        <w:jc w:val="both"/>
        <w:rPr>
          <w:rFonts w:ascii="Arial" w:eastAsia="Times New Roman" w:hAnsi="Arial" w:cs="Times New Roman"/>
          <w:sz w:val="28"/>
          <w:szCs w:val="24"/>
        </w:rPr>
      </w:pPr>
      <w:r>
        <w:rPr>
          <w:rFonts w:ascii="Arial" w:hAnsi="Arial"/>
          <w:sz w:val="28"/>
          <w:szCs w:val="24"/>
        </w:rPr>
        <w:t>The PUN form does not disclose fee</w:t>
      </w:r>
      <w:r w:rsidR="006151DA">
        <w:rPr>
          <w:rFonts w:ascii="Arial" w:hAnsi="Arial"/>
          <w:sz w:val="28"/>
          <w:szCs w:val="24"/>
        </w:rPr>
        <w:t>s</w:t>
      </w:r>
      <w:r>
        <w:rPr>
          <w:rFonts w:ascii="Arial" w:hAnsi="Arial"/>
          <w:sz w:val="28"/>
          <w:szCs w:val="24"/>
        </w:rPr>
        <w:t xml:space="preserve"> for issuing additional payment cards (e.g. for authorised persons).</w:t>
      </w:r>
    </w:p>
    <w:p w14:paraId="6C1F0187" w14:textId="42BD8245" w:rsidR="00AA0E0A" w:rsidRPr="00067ABB" w:rsidRDefault="00AA0E0A" w:rsidP="00392F4B">
      <w:pPr>
        <w:pStyle w:val="ListParagraph"/>
        <w:numPr>
          <w:ilvl w:val="0"/>
          <w:numId w:val="1"/>
        </w:numPr>
        <w:spacing w:after="240" w:line="240" w:lineRule="auto"/>
        <w:ind w:left="0" w:firstLine="357"/>
        <w:contextualSpacing w:val="0"/>
        <w:jc w:val="both"/>
        <w:rPr>
          <w:rFonts w:ascii="Arial" w:eastAsia="Times New Roman" w:hAnsi="Arial" w:cs="Times New Roman"/>
          <w:sz w:val="28"/>
          <w:szCs w:val="24"/>
        </w:rPr>
      </w:pPr>
      <w:r>
        <w:rPr>
          <w:rFonts w:ascii="Arial" w:hAnsi="Arial"/>
          <w:sz w:val="28"/>
          <w:szCs w:val="24"/>
        </w:rPr>
        <w:t xml:space="preserve">For the service </w:t>
      </w:r>
      <w:r w:rsidRPr="00A673EE">
        <w:rPr>
          <w:rFonts w:ascii="Arial" w:hAnsi="Arial"/>
          <w:i/>
          <w:sz w:val="28"/>
          <w:szCs w:val="24"/>
        </w:rPr>
        <w:t>Payment card cash pay-outs</w:t>
      </w:r>
      <w:r>
        <w:rPr>
          <w:rFonts w:ascii="Arial" w:hAnsi="Arial"/>
          <w:sz w:val="28"/>
          <w:szCs w:val="24"/>
        </w:rPr>
        <w:t xml:space="preserve">, it shall disclose a fee at least according to whether the pay-out is executed with a debit or a credit card, for the cards referred to in Sections 11 and 12 hereof, whether the pay-out is carried out in the country or abroad and whether it is carried out </w:t>
      </w:r>
      <w:r w:rsidR="006151DA">
        <w:rPr>
          <w:rFonts w:ascii="Arial" w:hAnsi="Arial"/>
          <w:sz w:val="28"/>
          <w:szCs w:val="24"/>
        </w:rPr>
        <w:t xml:space="preserve">at </w:t>
      </w:r>
      <w:r>
        <w:rPr>
          <w:rFonts w:ascii="Arial" w:hAnsi="Arial"/>
          <w:sz w:val="28"/>
          <w:szCs w:val="24"/>
        </w:rPr>
        <w:t>ATMs or counters. If it charges various fees and according to whether the pay-</w:t>
      </w:r>
      <w:r w:rsidR="006151DA">
        <w:rPr>
          <w:rFonts w:ascii="Arial" w:hAnsi="Arial"/>
          <w:sz w:val="28"/>
          <w:szCs w:val="24"/>
        </w:rPr>
        <w:t>o</w:t>
      </w:r>
      <w:r>
        <w:rPr>
          <w:rFonts w:ascii="Arial" w:hAnsi="Arial"/>
          <w:sz w:val="28"/>
          <w:szCs w:val="24"/>
        </w:rPr>
        <w:t xml:space="preserve">ut is carried out at ATMs and/or counters of the payment service provider that issued that card or another provider </w:t>
      </w:r>
      <w:r w:rsidR="006151DA">
        <w:rPr>
          <w:rFonts w:ascii="Arial" w:hAnsi="Arial"/>
          <w:sz w:val="28"/>
          <w:szCs w:val="24"/>
        </w:rPr>
        <w:t>–</w:t>
      </w:r>
      <w:r>
        <w:rPr>
          <w:rFonts w:ascii="Arial" w:hAnsi="Arial"/>
          <w:sz w:val="28"/>
          <w:szCs w:val="24"/>
        </w:rPr>
        <w:t xml:space="preserve"> the payment service provider shall disclose separately those fees as well.</w:t>
      </w:r>
    </w:p>
    <w:p w14:paraId="7C8A8642" w14:textId="60070C16" w:rsidR="009C20BA" w:rsidRPr="00067ABB" w:rsidRDefault="00672060" w:rsidP="00164294">
      <w:pPr>
        <w:spacing w:after="240" w:line="240" w:lineRule="auto"/>
        <w:ind w:firstLine="851"/>
        <w:jc w:val="both"/>
        <w:rPr>
          <w:rFonts w:ascii="Arial" w:eastAsia="Times New Roman" w:hAnsi="Arial" w:cs="Times New Roman"/>
          <w:sz w:val="28"/>
          <w:szCs w:val="24"/>
        </w:rPr>
      </w:pPr>
      <w:r>
        <w:rPr>
          <w:rFonts w:ascii="Arial" w:hAnsi="Arial"/>
          <w:sz w:val="28"/>
          <w:szCs w:val="24"/>
        </w:rPr>
        <w:lastRenderedPageBreak/>
        <w:t xml:space="preserve">In credit card cash pay-outs, </w:t>
      </w:r>
      <w:r w:rsidR="006151DA">
        <w:rPr>
          <w:rFonts w:ascii="Arial" w:hAnsi="Arial"/>
          <w:sz w:val="28"/>
          <w:szCs w:val="24"/>
        </w:rPr>
        <w:t xml:space="preserve">the </w:t>
      </w:r>
      <w:r>
        <w:rPr>
          <w:rFonts w:ascii="Arial" w:hAnsi="Arial"/>
          <w:sz w:val="28"/>
          <w:szCs w:val="24"/>
        </w:rPr>
        <w:t xml:space="preserve">nominal and effective annual interest rate is disclosed, stating whether the interest rate is fixed or variable and stating the method applied in calculating interest (e.g. conform, proportional), as well as other types of fees that the payment service provider charges to the payment service user for the used funds. In the case of </w:t>
      </w:r>
      <w:r w:rsidR="006151DA">
        <w:rPr>
          <w:rFonts w:ascii="Arial" w:hAnsi="Arial"/>
          <w:sz w:val="28"/>
          <w:szCs w:val="24"/>
        </w:rPr>
        <w:t xml:space="preserve">a </w:t>
      </w:r>
      <w:r>
        <w:rPr>
          <w:rFonts w:ascii="Arial" w:hAnsi="Arial"/>
          <w:sz w:val="28"/>
          <w:szCs w:val="24"/>
        </w:rPr>
        <w:t xml:space="preserve">variable nominal interest rate, it is </w:t>
      </w:r>
      <w:r w:rsidR="006151DA">
        <w:rPr>
          <w:rFonts w:ascii="Arial" w:hAnsi="Arial"/>
          <w:sz w:val="28"/>
          <w:szCs w:val="24"/>
        </w:rPr>
        <w:t xml:space="preserve">stated </w:t>
      </w:r>
      <w:r>
        <w:rPr>
          <w:rFonts w:ascii="Arial" w:hAnsi="Arial"/>
          <w:sz w:val="28"/>
          <w:szCs w:val="24"/>
        </w:rPr>
        <w:t>of which agreed variable elements i</w:t>
      </w:r>
      <w:r w:rsidR="006151DA">
        <w:rPr>
          <w:rFonts w:ascii="Arial" w:hAnsi="Arial"/>
          <w:sz w:val="28"/>
          <w:szCs w:val="24"/>
        </w:rPr>
        <w:t>t</w:t>
      </w:r>
      <w:r>
        <w:rPr>
          <w:rFonts w:ascii="Arial" w:hAnsi="Arial"/>
          <w:sz w:val="28"/>
          <w:szCs w:val="24"/>
        </w:rPr>
        <w:t xml:space="preserve"> consists, as well as the fixed element of such rate, if envisaged.</w:t>
      </w:r>
    </w:p>
    <w:p w14:paraId="694D99AB" w14:textId="0CA6B90A" w:rsidR="00B45112" w:rsidRPr="00067ABB" w:rsidRDefault="00AA0E0A" w:rsidP="00392F4B">
      <w:pPr>
        <w:pStyle w:val="ListParagraph"/>
        <w:numPr>
          <w:ilvl w:val="0"/>
          <w:numId w:val="1"/>
        </w:numPr>
        <w:spacing w:after="240" w:line="240" w:lineRule="auto"/>
        <w:ind w:left="0" w:firstLine="425"/>
        <w:contextualSpacing w:val="0"/>
        <w:jc w:val="both"/>
        <w:rPr>
          <w:rFonts w:ascii="Arial" w:eastAsia="Times New Roman" w:hAnsi="Arial" w:cs="Times New Roman"/>
          <w:sz w:val="28"/>
          <w:szCs w:val="24"/>
        </w:rPr>
      </w:pPr>
      <w:r>
        <w:rPr>
          <w:rFonts w:ascii="Arial" w:hAnsi="Arial"/>
          <w:sz w:val="28"/>
          <w:szCs w:val="24"/>
        </w:rPr>
        <w:t xml:space="preserve">For </w:t>
      </w:r>
      <w:r w:rsidR="000F2F15">
        <w:rPr>
          <w:rFonts w:ascii="Arial" w:hAnsi="Arial"/>
          <w:sz w:val="28"/>
          <w:szCs w:val="24"/>
        </w:rPr>
        <w:t xml:space="preserve">the service </w:t>
      </w:r>
      <w:r w:rsidRPr="00A673EE">
        <w:rPr>
          <w:rFonts w:ascii="Arial" w:hAnsi="Arial"/>
          <w:i/>
          <w:sz w:val="28"/>
          <w:szCs w:val="24"/>
        </w:rPr>
        <w:t>Credit card payments at a merchant's point of sale</w:t>
      </w:r>
      <w:r>
        <w:rPr>
          <w:rFonts w:ascii="Arial" w:hAnsi="Arial"/>
          <w:sz w:val="28"/>
          <w:szCs w:val="24"/>
        </w:rPr>
        <w:t>, it shall disclose a fee</w:t>
      </w:r>
      <w:r>
        <w:t xml:space="preserve"> </w:t>
      </w:r>
      <w:r>
        <w:rPr>
          <w:rFonts w:ascii="Arial" w:hAnsi="Arial"/>
          <w:sz w:val="28"/>
          <w:szCs w:val="24"/>
        </w:rPr>
        <w:t>upon</w:t>
      </w:r>
      <w:r w:rsidR="00F22A96">
        <w:rPr>
          <w:rFonts w:ascii="Arial" w:hAnsi="Arial"/>
          <w:sz w:val="28"/>
          <w:szCs w:val="24"/>
        </w:rPr>
        <w:t xml:space="preserve"> a</w:t>
      </w:r>
      <w:r>
        <w:rPr>
          <w:rFonts w:ascii="Arial" w:hAnsi="Arial"/>
          <w:sz w:val="28"/>
          <w:szCs w:val="24"/>
        </w:rPr>
        <w:t xml:space="preserve"> concluded transaction at a merchant's point of sale, </w:t>
      </w:r>
      <w:r w:rsidR="000F2F15">
        <w:rPr>
          <w:rFonts w:ascii="Arial" w:hAnsi="Arial"/>
          <w:sz w:val="28"/>
          <w:szCs w:val="24"/>
        </w:rPr>
        <w:t xml:space="preserve">the </w:t>
      </w:r>
      <w:r>
        <w:rPr>
          <w:rFonts w:ascii="Arial" w:hAnsi="Arial"/>
          <w:sz w:val="28"/>
          <w:szCs w:val="24"/>
        </w:rPr>
        <w:t xml:space="preserve">nominal and effective annual interest rate, stating whether the interest rate is fixed or variable and stating the method applied in calculating interest (e.g. conform, proportional), as well as other types of fees that the payment service provider charges to the payment service user for the used funds. In the case of </w:t>
      </w:r>
      <w:r w:rsidR="000F2F15">
        <w:rPr>
          <w:rFonts w:ascii="Arial" w:hAnsi="Arial"/>
          <w:sz w:val="28"/>
          <w:szCs w:val="24"/>
        </w:rPr>
        <w:t xml:space="preserve">a </w:t>
      </w:r>
      <w:r>
        <w:rPr>
          <w:rFonts w:ascii="Arial" w:hAnsi="Arial"/>
          <w:sz w:val="28"/>
          <w:szCs w:val="24"/>
        </w:rPr>
        <w:t>variable nominal interest rate, it shall state which agreed variable elements the rate consists of, as well as the fixed element of such rate, if envisaged.</w:t>
      </w:r>
    </w:p>
    <w:p w14:paraId="610D3386" w14:textId="5660AE38" w:rsidR="00AA0E0A" w:rsidRPr="00067ABB" w:rsidRDefault="00AA0E0A" w:rsidP="00392F4B">
      <w:pPr>
        <w:pStyle w:val="ListParagraph"/>
        <w:numPr>
          <w:ilvl w:val="0"/>
          <w:numId w:val="1"/>
        </w:numPr>
        <w:spacing w:after="240" w:line="240" w:lineRule="auto"/>
        <w:ind w:left="0" w:firstLine="357"/>
        <w:contextualSpacing w:val="0"/>
        <w:jc w:val="both"/>
        <w:rPr>
          <w:rFonts w:ascii="Arial" w:eastAsia="Times New Roman" w:hAnsi="Arial" w:cs="Times New Roman"/>
          <w:sz w:val="28"/>
          <w:szCs w:val="24"/>
        </w:rPr>
      </w:pPr>
      <w:r>
        <w:rPr>
          <w:rFonts w:ascii="Arial" w:hAnsi="Arial"/>
          <w:sz w:val="28"/>
          <w:szCs w:val="24"/>
        </w:rPr>
        <w:t xml:space="preserve">For the service </w:t>
      </w:r>
      <w:r w:rsidRPr="00A673EE">
        <w:rPr>
          <w:rFonts w:ascii="Arial" w:hAnsi="Arial"/>
          <w:i/>
          <w:sz w:val="28"/>
          <w:szCs w:val="24"/>
        </w:rPr>
        <w:t>Authorised overdraft facility</w:t>
      </w:r>
      <w:r>
        <w:rPr>
          <w:rFonts w:ascii="Arial" w:hAnsi="Arial"/>
          <w:sz w:val="28"/>
          <w:szCs w:val="24"/>
        </w:rPr>
        <w:t xml:space="preserve">, it shall disclose the fee for establishing, i.e. using the service (one-off and/or periodically), as well as other fees which are charged for using this service. In addition, it shall disclose </w:t>
      </w:r>
      <w:r w:rsidR="000F2F15">
        <w:rPr>
          <w:rFonts w:ascii="Arial" w:hAnsi="Arial"/>
          <w:sz w:val="28"/>
          <w:szCs w:val="24"/>
        </w:rPr>
        <w:t xml:space="preserve">the </w:t>
      </w:r>
      <w:r>
        <w:rPr>
          <w:rFonts w:ascii="Arial" w:hAnsi="Arial"/>
          <w:sz w:val="28"/>
          <w:szCs w:val="24"/>
        </w:rPr>
        <w:t>nominal and effective annual interest rat</w:t>
      </w:r>
      <w:r w:rsidR="000F2F15">
        <w:rPr>
          <w:rFonts w:ascii="Arial" w:hAnsi="Arial"/>
          <w:sz w:val="28"/>
          <w:szCs w:val="24"/>
        </w:rPr>
        <w:t>e</w:t>
      </w:r>
      <w:r>
        <w:rPr>
          <w:rFonts w:ascii="Arial" w:hAnsi="Arial"/>
          <w:sz w:val="28"/>
          <w:szCs w:val="24"/>
        </w:rPr>
        <w:t xml:space="preserve"> for authorised overdraft, stating whether the interest rate is fixed or variable and the method applied in calculating the rate (e.g. conform, proportional). In the case of </w:t>
      </w:r>
      <w:r w:rsidR="000F2F15">
        <w:rPr>
          <w:rFonts w:ascii="Arial" w:hAnsi="Arial"/>
          <w:sz w:val="28"/>
          <w:szCs w:val="24"/>
        </w:rPr>
        <w:t xml:space="preserve">a </w:t>
      </w:r>
      <w:r>
        <w:rPr>
          <w:rFonts w:ascii="Arial" w:hAnsi="Arial"/>
          <w:sz w:val="28"/>
          <w:szCs w:val="24"/>
        </w:rPr>
        <w:t>variable nominal interest rate, it shall state which agreed variable elements the rate consists of, as well as the fixed element of such rate, if envisaged.</w:t>
      </w:r>
    </w:p>
    <w:p w14:paraId="527E85ED" w14:textId="77777777" w:rsidR="00AA0E0A" w:rsidRPr="00067ABB" w:rsidRDefault="00AA0E0A" w:rsidP="00392F4B">
      <w:pPr>
        <w:pStyle w:val="ListParagraph"/>
        <w:numPr>
          <w:ilvl w:val="0"/>
          <w:numId w:val="1"/>
        </w:numPr>
        <w:spacing w:after="240" w:line="240" w:lineRule="auto"/>
        <w:ind w:left="0" w:firstLine="357"/>
        <w:contextualSpacing w:val="0"/>
        <w:jc w:val="both"/>
        <w:rPr>
          <w:rFonts w:ascii="Arial" w:eastAsia="Times New Roman" w:hAnsi="Arial" w:cs="Times New Roman"/>
          <w:sz w:val="28"/>
          <w:szCs w:val="24"/>
        </w:rPr>
      </w:pPr>
      <w:r>
        <w:rPr>
          <w:rFonts w:ascii="Arial" w:hAnsi="Arial"/>
          <w:sz w:val="28"/>
          <w:szCs w:val="24"/>
        </w:rPr>
        <w:t xml:space="preserve">For the service </w:t>
      </w:r>
      <w:r w:rsidRPr="00A673EE">
        <w:rPr>
          <w:rFonts w:ascii="Arial" w:hAnsi="Arial"/>
          <w:i/>
          <w:sz w:val="28"/>
          <w:szCs w:val="24"/>
        </w:rPr>
        <w:t>Cash pay-out from an account by submitting a pay-out order</w:t>
      </w:r>
      <w:r>
        <w:rPr>
          <w:rFonts w:ascii="Arial" w:hAnsi="Arial"/>
          <w:sz w:val="28"/>
          <w:szCs w:val="24"/>
        </w:rPr>
        <w:t>, it shall disclose the fee for cash pay-out from its own payment account.</w:t>
      </w:r>
    </w:p>
    <w:p w14:paraId="5AE4C4AA" w14:textId="77777777" w:rsidR="00AA0E0A" w:rsidRPr="00067ABB" w:rsidRDefault="00AA0E0A" w:rsidP="00392F4B">
      <w:pPr>
        <w:pStyle w:val="ListParagraph"/>
        <w:numPr>
          <w:ilvl w:val="0"/>
          <w:numId w:val="1"/>
        </w:numPr>
        <w:spacing w:after="240" w:line="240" w:lineRule="auto"/>
        <w:ind w:left="0" w:firstLine="357"/>
        <w:contextualSpacing w:val="0"/>
        <w:jc w:val="both"/>
        <w:rPr>
          <w:rFonts w:ascii="Arial" w:eastAsia="Times New Roman" w:hAnsi="Arial" w:cs="Times New Roman"/>
          <w:sz w:val="28"/>
          <w:szCs w:val="24"/>
        </w:rPr>
      </w:pPr>
      <w:r>
        <w:rPr>
          <w:rFonts w:ascii="Arial" w:hAnsi="Arial"/>
          <w:sz w:val="28"/>
          <w:szCs w:val="24"/>
        </w:rPr>
        <w:t xml:space="preserve">For the service </w:t>
      </w:r>
      <w:r w:rsidRPr="00A673EE">
        <w:rPr>
          <w:rFonts w:ascii="Arial" w:hAnsi="Arial"/>
          <w:i/>
          <w:sz w:val="28"/>
          <w:szCs w:val="24"/>
        </w:rPr>
        <w:t>Cash pay-in to an account by submitting a pay-in order</w:t>
      </w:r>
      <w:r>
        <w:rPr>
          <w:rFonts w:ascii="Arial" w:hAnsi="Arial"/>
          <w:sz w:val="28"/>
          <w:szCs w:val="24"/>
        </w:rPr>
        <w:t>, it shall disclose the fee for cash pay-in to its own payment account.</w:t>
      </w:r>
    </w:p>
    <w:p w14:paraId="1559995C" w14:textId="486722B6" w:rsidR="00AA0E0A" w:rsidRPr="00067ABB" w:rsidRDefault="00AA0E0A" w:rsidP="00392F4B">
      <w:pPr>
        <w:pStyle w:val="ListParagraph"/>
        <w:numPr>
          <w:ilvl w:val="0"/>
          <w:numId w:val="1"/>
        </w:numPr>
        <w:spacing w:after="240" w:line="240" w:lineRule="auto"/>
        <w:ind w:left="0" w:firstLine="357"/>
        <w:contextualSpacing w:val="0"/>
        <w:jc w:val="both"/>
        <w:rPr>
          <w:rFonts w:ascii="Arial" w:eastAsia="Times New Roman" w:hAnsi="Arial" w:cs="Times New Roman"/>
          <w:sz w:val="28"/>
          <w:szCs w:val="24"/>
        </w:rPr>
      </w:pPr>
      <w:r>
        <w:rPr>
          <w:rFonts w:ascii="Arial" w:hAnsi="Arial"/>
          <w:sz w:val="28"/>
          <w:szCs w:val="24"/>
        </w:rPr>
        <w:t xml:space="preserve">For the service </w:t>
      </w:r>
      <w:r w:rsidRPr="00A673EE">
        <w:rPr>
          <w:rFonts w:ascii="Arial" w:hAnsi="Arial"/>
          <w:i/>
          <w:sz w:val="28"/>
          <w:szCs w:val="24"/>
        </w:rPr>
        <w:t>Accepting payment cards at a point of sale</w:t>
      </w:r>
      <w:r>
        <w:rPr>
          <w:rFonts w:ascii="Arial" w:hAnsi="Arial"/>
          <w:sz w:val="28"/>
          <w:szCs w:val="24"/>
        </w:rPr>
        <w:t xml:space="preserve">, it shall disclose fees that the payment service provider </w:t>
      </w:r>
      <w:r w:rsidR="000F2F15">
        <w:rPr>
          <w:rFonts w:ascii="Arial" w:hAnsi="Arial"/>
          <w:sz w:val="28"/>
          <w:szCs w:val="24"/>
        </w:rPr>
        <w:t xml:space="preserve">– </w:t>
      </w:r>
      <w:r>
        <w:rPr>
          <w:rFonts w:ascii="Arial" w:hAnsi="Arial"/>
          <w:sz w:val="28"/>
          <w:szCs w:val="24"/>
        </w:rPr>
        <w:t>the payee charges from the merchant to whom it provides the service of accepting payment cards, namely the merchant fee and other fees (e</w:t>
      </w:r>
      <w:r w:rsidR="00A673EE">
        <w:rPr>
          <w:rFonts w:ascii="Arial" w:hAnsi="Arial"/>
          <w:sz w:val="28"/>
          <w:szCs w:val="24"/>
        </w:rPr>
        <w:t>.</w:t>
      </w:r>
      <w:r>
        <w:rPr>
          <w:rFonts w:ascii="Arial" w:hAnsi="Arial"/>
          <w:sz w:val="28"/>
          <w:szCs w:val="24"/>
        </w:rPr>
        <w:t>g</w:t>
      </w:r>
      <w:r w:rsidR="00A673EE">
        <w:rPr>
          <w:rFonts w:ascii="Arial" w:hAnsi="Arial"/>
          <w:sz w:val="28"/>
          <w:szCs w:val="24"/>
        </w:rPr>
        <w:t>.</w:t>
      </w:r>
      <w:r>
        <w:rPr>
          <w:rFonts w:ascii="Arial" w:hAnsi="Arial"/>
          <w:sz w:val="28"/>
          <w:szCs w:val="24"/>
        </w:rPr>
        <w:t xml:space="preserve"> the fee for </w:t>
      </w:r>
      <w:r w:rsidR="00A673EE">
        <w:rPr>
          <w:rFonts w:ascii="Arial" w:hAnsi="Arial"/>
          <w:sz w:val="28"/>
          <w:szCs w:val="24"/>
        </w:rPr>
        <w:t>u</w:t>
      </w:r>
      <w:r>
        <w:rPr>
          <w:rFonts w:ascii="Arial" w:hAnsi="Arial"/>
          <w:sz w:val="28"/>
          <w:szCs w:val="24"/>
        </w:rPr>
        <w:t xml:space="preserve">sing PoS terminals, fee for using IPG </w:t>
      </w:r>
      <w:r w:rsidR="000F2F15">
        <w:rPr>
          <w:rFonts w:ascii="Arial" w:hAnsi="Arial"/>
          <w:sz w:val="28"/>
          <w:szCs w:val="24"/>
        </w:rPr>
        <w:t xml:space="preserve">– </w:t>
      </w:r>
      <w:r>
        <w:rPr>
          <w:rFonts w:ascii="Arial" w:hAnsi="Arial"/>
          <w:sz w:val="28"/>
          <w:szCs w:val="24"/>
        </w:rPr>
        <w:t>Internet Payment Gateway). A payment service provider shall disclose the merchant fee in the range from the minimum to maximum according to whether the cards are accepted at a point of sale or on</w:t>
      </w:r>
      <w:r w:rsidR="000F2F15">
        <w:rPr>
          <w:rFonts w:ascii="Arial" w:hAnsi="Arial"/>
          <w:sz w:val="28"/>
          <w:szCs w:val="24"/>
        </w:rPr>
        <w:t xml:space="preserve"> the</w:t>
      </w:r>
      <w:r>
        <w:rPr>
          <w:rFonts w:ascii="Arial" w:hAnsi="Arial"/>
          <w:sz w:val="28"/>
          <w:szCs w:val="24"/>
        </w:rPr>
        <w:t xml:space="preserve"> internet (electronic commerce), whether the payment service provider is both the acquirer and the issuer of the cards it accepts, whether the issuer of the accepted payment card is another payment service provider from the Republic of Serbia or from abroad, as well as according to the card system </w:t>
      </w:r>
      <w:r>
        <w:rPr>
          <w:rFonts w:ascii="Arial" w:hAnsi="Arial"/>
          <w:sz w:val="28"/>
          <w:szCs w:val="24"/>
        </w:rPr>
        <w:lastRenderedPageBreak/>
        <w:t xml:space="preserve">for which the payment service provider offers the service </w:t>
      </w:r>
      <w:r w:rsidR="000F2F15">
        <w:rPr>
          <w:rFonts w:ascii="Arial" w:hAnsi="Arial"/>
          <w:sz w:val="28"/>
          <w:szCs w:val="24"/>
        </w:rPr>
        <w:t xml:space="preserve">of </w:t>
      </w:r>
      <w:r>
        <w:rPr>
          <w:rFonts w:ascii="Arial" w:hAnsi="Arial"/>
          <w:sz w:val="28"/>
          <w:szCs w:val="24"/>
        </w:rPr>
        <w:t xml:space="preserve">accepting payments cards. </w:t>
      </w:r>
    </w:p>
    <w:p w14:paraId="295D0B9B" w14:textId="4A190AAA" w:rsidR="006254D8" w:rsidRPr="00067ABB" w:rsidRDefault="00AA0E0A" w:rsidP="00392F4B">
      <w:pPr>
        <w:pStyle w:val="ListParagraph"/>
        <w:numPr>
          <w:ilvl w:val="0"/>
          <w:numId w:val="1"/>
        </w:numPr>
        <w:spacing w:after="240" w:line="240" w:lineRule="auto"/>
        <w:ind w:left="0" w:firstLine="357"/>
        <w:contextualSpacing w:val="0"/>
        <w:jc w:val="both"/>
        <w:rPr>
          <w:rFonts w:ascii="Arial" w:eastAsia="Times New Roman" w:hAnsi="Arial" w:cs="Times New Roman"/>
          <w:sz w:val="28"/>
          <w:szCs w:val="24"/>
        </w:rPr>
      </w:pPr>
      <w:r>
        <w:rPr>
          <w:rFonts w:ascii="Arial" w:hAnsi="Arial"/>
          <w:sz w:val="28"/>
          <w:szCs w:val="24"/>
        </w:rPr>
        <w:t xml:space="preserve">For the service </w:t>
      </w:r>
      <w:r w:rsidRPr="00A673EE">
        <w:rPr>
          <w:rFonts w:ascii="Arial" w:hAnsi="Arial"/>
          <w:i/>
          <w:sz w:val="28"/>
          <w:szCs w:val="24"/>
        </w:rPr>
        <w:t>Accepting instant credit transfers at a point of sale</w:t>
      </w:r>
      <w:r>
        <w:rPr>
          <w:rFonts w:ascii="Arial" w:hAnsi="Arial"/>
          <w:sz w:val="28"/>
          <w:szCs w:val="24"/>
        </w:rPr>
        <w:t>, it shall disclose the fee</w:t>
      </w:r>
      <w:r w:rsidR="000F2F15">
        <w:rPr>
          <w:rFonts w:ascii="Arial" w:hAnsi="Arial"/>
          <w:sz w:val="28"/>
          <w:szCs w:val="24"/>
        </w:rPr>
        <w:t>s</w:t>
      </w:r>
      <w:r>
        <w:rPr>
          <w:rFonts w:ascii="Arial" w:hAnsi="Arial"/>
          <w:sz w:val="28"/>
          <w:szCs w:val="24"/>
        </w:rPr>
        <w:t xml:space="preserve"> that the payment service provider who is an acquirer charges to the merchant for the service of accepting the payment instrument for executing instant credit transfers, according to whether the payment service provider </w:t>
      </w:r>
      <w:r w:rsidR="000F2F15">
        <w:rPr>
          <w:rFonts w:ascii="Arial" w:hAnsi="Arial"/>
          <w:sz w:val="28"/>
          <w:szCs w:val="24"/>
        </w:rPr>
        <w:t>who is</w:t>
      </w:r>
      <w:r>
        <w:rPr>
          <w:rFonts w:ascii="Arial" w:hAnsi="Arial"/>
          <w:sz w:val="28"/>
          <w:szCs w:val="24"/>
        </w:rPr>
        <w:t xml:space="preserve"> an acquirer </w:t>
      </w:r>
      <w:r w:rsidR="000F2F15">
        <w:rPr>
          <w:rFonts w:ascii="Arial" w:hAnsi="Arial"/>
          <w:sz w:val="28"/>
          <w:szCs w:val="24"/>
        </w:rPr>
        <w:t xml:space="preserve">is at the same time </w:t>
      </w:r>
      <w:r>
        <w:rPr>
          <w:rFonts w:ascii="Arial" w:hAnsi="Arial"/>
          <w:sz w:val="28"/>
          <w:szCs w:val="24"/>
        </w:rPr>
        <w:t>an issuer of such instrument or the issuer is another payment service provider.</w:t>
      </w:r>
    </w:p>
    <w:sectPr w:rsidR="006254D8" w:rsidRPr="00067ABB" w:rsidSect="00120184">
      <w:headerReference w:type="even" r:id="rId8"/>
      <w:headerReference w:type="default" r:id="rId9"/>
      <w:footerReference w:type="even" r:id="rId10"/>
      <w:footerReference w:type="default" r:id="rId11"/>
      <w:headerReference w:type="first" r:id="rId12"/>
      <w:footerReference w:type="first" r:id="rId13"/>
      <w:pgSz w:w="11907" w:h="16839" w:code="9"/>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98B09" w14:textId="77777777" w:rsidR="00D66D05" w:rsidRDefault="00D66D05" w:rsidP="00AA0E0A">
      <w:pPr>
        <w:spacing w:after="0" w:line="240" w:lineRule="auto"/>
      </w:pPr>
      <w:r>
        <w:separator/>
      </w:r>
    </w:p>
  </w:endnote>
  <w:endnote w:type="continuationSeparator" w:id="0">
    <w:p w14:paraId="4BFDFD82" w14:textId="77777777" w:rsidR="00D66D05" w:rsidRDefault="00D66D05" w:rsidP="00AA0E0A">
      <w:pPr>
        <w:spacing w:after="0" w:line="240" w:lineRule="auto"/>
      </w:pPr>
      <w:r>
        <w:continuationSeparator/>
      </w:r>
    </w:p>
  </w:endnote>
  <w:endnote w:type="continuationNotice" w:id="1">
    <w:p w14:paraId="369879A8" w14:textId="77777777" w:rsidR="00D66D05" w:rsidRDefault="00D66D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92E1" w14:textId="77777777" w:rsidR="00F86C65" w:rsidRDefault="00F86C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FAA58" w14:textId="77777777" w:rsidR="000561D4" w:rsidRPr="000561D4" w:rsidRDefault="000561D4">
    <w:pPr>
      <w:pStyle w:val="Footer"/>
      <w:jc w:val="right"/>
      <w:rPr>
        <w:rFonts w:ascii="Arial" w:hAnsi="Arial" w:cs="Arial"/>
        <w:sz w:val="24"/>
      </w:rPr>
    </w:pPr>
  </w:p>
  <w:p w14:paraId="3EB6E4AF" w14:textId="77777777" w:rsidR="000561D4" w:rsidRDefault="000561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84A33" w14:textId="77777777" w:rsidR="00610F9C" w:rsidRPr="00610F9C" w:rsidRDefault="00610F9C">
    <w:pPr>
      <w:pStyle w:val="Footer"/>
      <w:jc w:val="right"/>
      <w:rPr>
        <w:rFonts w:ascii="Arial" w:hAnsi="Arial" w:cs="Arial"/>
        <w:sz w:val="24"/>
      </w:rPr>
    </w:pPr>
  </w:p>
  <w:p w14:paraId="24936C95" w14:textId="77777777" w:rsidR="00610F9C" w:rsidRDefault="00610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11000" w14:textId="77777777" w:rsidR="00D66D05" w:rsidRDefault="00D66D05" w:rsidP="00AA0E0A">
      <w:pPr>
        <w:spacing w:after="0" w:line="240" w:lineRule="auto"/>
      </w:pPr>
      <w:r>
        <w:separator/>
      </w:r>
    </w:p>
  </w:footnote>
  <w:footnote w:type="continuationSeparator" w:id="0">
    <w:p w14:paraId="78C50505" w14:textId="77777777" w:rsidR="00D66D05" w:rsidRDefault="00D66D05" w:rsidP="00AA0E0A">
      <w:pPr>
        <w:spacing w:after="0" w:line="240" w:lineRule="auto"/>
      </w:pPr>
      <w:r>
        <w:continuationSeparator/>
      </w:r>
    </w:p>
  </w:footnote>
  <w:footnote w:type="continuationNotice" w:id="1">
    <w:p w14:paraId="78DAA1FF" w14:textId="77777777" w:rsidR="00D66D05" w:rsidRDefault="00D66D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651D6" w14:textId="77777777" w:rsidR="00F86C65" w:rsidRDefault="00F86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403549"/>
      <w:docPartObj>
        <w:docPartGallery w:val="Page Numbers (Top of Page)"/>
        <w:docPartUnique/>
      </w:docPartObj>
    </w:sdtPr>
    <w:sdtEndPr>
      <w:rPr>
        <w:rFonts w:ascii="Arial" w:hAnsi="Arial" w:cs="Arial"/>
        <w:noProof/>
        <w:sz w:val="24"/>
      </w:rPr>
    </w:sdtEndPr>
    <w:sdtContent>
      <w:p w14:paraId="71930116" w14:textId="3A3F250E" w:rsidR="009F1D12" w:rsidRPr="009F1D12" w:rsidRDefault="009F1D12">
        <w:pPr>
          <w:pStyle w:val="Header"/>
          <w:jc w:val="center"/>
          <w:rPr>
            <w:rFonts w:ascii="Arial" w:hAnsi="Arial" w:cs="Arial"/>
            <w:sz w:val="24"/>
          </w:rPr>
        </w:pPr>
        <w:r w:rsidRPr="009F1D12">
          <w:rPr>
            <w:rFonts w:ascii="Arial" w:hAnsi="Arial" w:cs="Arial"/>
            <w:sz w:val="24"/>
          </w:rPr>
          <w:fldChar w:fldCharType="begin"/>
        </w:r>
        <w:r w:rsidRPr="009F1D12">
          <w:rPr>
            <w:rFonts w:ascii="Arial" w:hAnsi="Arial" w:cs="Arial"/>
            <w:sz w:val="24"/>
          </w:rPr>
          <w:instrText xml:space="preserve"> PAGE   \* MERGEFORMAT </w:instrText>
        </w:r>
        <w:r w:rsidRPr="009F1D12">
          <w:rPr>
            <w:rFonts w:ascii="Arial" w:hAnsi="Arial" w:cs="Arial"/>
            <w:sz w:val="24"/>
          </w:rPr>
          <w:fldChar w:fldCharType="separate"/>
        </w:r>
        <w:r w:rsidR="00F86C65">
          <w:rPr>
            <w:rFonts w:ascii="Arial" w:hAnsi="Arial" w:cs="Arial"/>
            <w:noProof/>
            <w:sz w:val="24"/>
          </w:rPr>
          <w:t>2</w:t>
        </w:r>
        <w:r w:rsidRPr="009F1D12">
          <w:rPr>
            <w:rFonts w:ascii="Arial" w:hAnsi="Arial" w:cs="Arial"/>
            <w:noProof/>
            <w:sz w:val="24"/>
          </w:rPr>
          <w:fldChar w:fldCharType="end"/>
        </w:r>
      </w:p>
    </w:sdtContent>
  </w:sdt>
  <w:p w14:paraId="2F9DA9A5" w14:textId="77777777" w:rsidR="009F1D12" w:rsidRDefault="009F1D12" w:rsidP="009F1D1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4B91A" w14:textId="51709250" w:rsidR="00F03939" w:rsidRPr="003E055F" w:rsidRDefault="003E055F" w:rsidP="00AD5B76">
    <w:pPr>
      <w:pStyle w:val="Header"/>
      <w:jc w:val="right"/>
      <w:rPr>
        <w:rFonts w:ascii="Arial" w:hAnsi="Arial" w:cs="Arial"/>
        <w:sz w:val="28"/>
        <w:szCs w:val="28"/>
      </w:rPr>
    </w:pPr>
    <w:r>
      <w:rPr>
        <w:rFonts w:ascii="Arial" w:hAnsi="Arial"/>
        <w:sz w:val="28"/>
        <w:szCs w:val="28"/>
      </w:rPr>
      <w:t>Annex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58AA"/>
    <w:multiLevelType w:val="hybridMultilevel"/>
    <w:tmpl w:val="B1DA8AE0"/>
    <w:lvl w:ilvl="0" w:tplc="686C8C4C">
      <w:start w:val="1"/>
      <w:numFmt w:val="decimal"/>
      <w:suff w:val="space"/>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263DB0"/>
    <w:multiLevelType w:val="hybridMultilevel"/>
    <w:tmpl w:val="A9549116"/>
    <w:lvl w:ilvl="0" w:tplc="09D8190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E0A"/>
    <w:rsid w:val="00012C7D"/>
    <w:rsid w:val="00022BAE"/>
    <w:rsid w:val="000561D4"/>
    <w:rsid w:val="00067ABB"/>
    <w:rsid w:val="000A3857"/>
    <w:rsid w:val="000B6C40"/>
    <w:rsid w:val="000F0C3E"/>
    <w:rsid w:val="000F2F15"/>
    <w:rsid w:val="001110D5"/>
    <w:rsid w:val="0011461B"/>
    <w:rsid w:val="00120184"/>
    <w:rsid w:val="00147EB0"/>
    <w:rsid w:val="00151E3A"/>
    <w:rsid w:val="00157133"/>
    <w:rsid w:val="00164294"/>
    <w:rsid w:val="00186FBD"/>
    <w:rsid w:val="001A11C0"/>
    <w:rsid w:val="001E6BB5"/>
    <w:rsid w:val="001F5DD2"/>
    <w:rsid w:val="002A4C0D"/>
    <w:rsid w:val="002D475A"/>
    <w:rsid w:val="002E11A0"/>
    <w:rsid w:val="002E1D74"/>
    <w:rsid w:val="00301C22"/>
    <w:rsid w:val="00331211"/>
    <w:rsid w:val="003336E1"/>
    <w:rsid w:val="003536EF"/>
    <w:rsid w:val="00364F53"/>
    <w:rsid w:val="00392F4B"/>
    <w:rsid w:val="00396026"/>
    <w:rsid w:val="003D30B2"/>
    <w:rsid w:val="003D3F3A"/>
    <w:rsid w:val="003D71CB"/>
    <w:rsid w:val="003E055F"/>
    <w:rsid w:val="0040017D"/>
    <w:rsid w:val="0040394B"/>
    <w:rsid w:val="00426163"/>
    <w:rsid w:val="004B3FDE"/>
    <w:rsid w:val="004D0878"/>
    <w:rsid w:val="004D60D8"/>
    <w:rsid w:val="004F418B"/>
    <w:rsid w:val="00543C96"/>
    <w:rsid w:val="00557060"/>
    <w:rsid w:val="00561177"/>
    <w:rsid w:val="005A2E83"/>
    <w:rsid w:val="005B1BD4"/>
    <w:rsid w:val="005D231D"/>
    <w:rsid w:val="005F166A"/>
    <w:rsid w:val="00610F9C"/>
    <w:rsid w:val="00614127"/>
    <w:rsid w:val="0061425B"/>
    <w:rsid w:val="006151DA"/>
    <w:rsid w:val="00617EBE"/>
    <w:rsid w:val="0062226A"/>
    <w:rsid w:val="006254D8"/>
    <w:rsid w:val="006305AF"/>
    <w:rsid w:val="00656809"/>
    <w:rsid w:val="00672060"/>
    <w:rsid w:val="00683769"/>
    <w:rsid w:val="006A4781"/>
    <w:rsid w:val="006C746C"/>
    <w:rsid w:val="006E5A6F"/>
    <w:rsid w:val="00715CEC"/>
    <w:rsid w:val="0074034B"/>
    <w:rsid w:val="007A78CB"/>
    <w:rsid w:val="007B5B2A"/>
    <w:rsid w:val="007F2B4F"/>
    <w:rsid w:val="00814341"/>
    <w:rsid w:val="008847C6"/>
    <w:rsid w:val="008A716A"/>
    <w:rsid w:val="008C49E3"/>
    <w:rsid w:val="008D0A1F"/>
    <w:rsid w:val="008F5CBE"/>
    <w:rsid w:val="00914591"/>
    <w:rsid w:val="00923079"/>
    <w:rsid w:val="00974330"/>
    <w:rsid w:val="009B2DB3"/>
    <w:rsid w:val="009C20BA"/>
    <w:rsid w:val="009F1D12"/>
    <w:rsid w:val="009F74DD"/>
    <w:rsid w:val="00A017D6"/>
    <w:rsid w:val="00A10E58"/>
    <w:rsid w:val="00A4681F"/>
    <w:rsid w:val="00A673EE"/>
    <w:rsid w:val="00A84223"/>
    <w:rsid w:val="00A97136"/>
    <w:rsid w:val="00AA0E0A"/>
    <w:rsid w:val="00AC19DB"/>
    <w:rsid w:val="00AC53BA"/>
    <w:rsid w:val="00AD5B76"/>
    <w:rsid w:val="00AF420F"/>
    <w:rsid w:val="00B45112"/>
    <w:rsid w:val="00B46E8D"/>
    <w:rsid w:val="00B54A6E"/>
    <w:rsid w:val="00B773AB"/>
    <w:rsid w:val="00BE6E7D"/>
    <w:rsid w:val="00BF40E2"/>
    <w:rsid w:val="00C15837"/>
    <w:rsid w:val="00C52297"/>
    <w:rsid w:val="00C62104"/>
    <w:rsid w:val="00C62613"/>
    <w:rsid w:val="00C674FB"/>
    <w:rsid w:val="00C86622"/>
    <w:rsid w:val="00C90334"/>
    <w:rsid w:val="00CB2527"/>
    <w:rsid w:val="00CC666A"/>
    <w:rsid w:val="00CD70E0"/>
    <w:rsid w:val="00CF266C"/>
    <w:rsid w:val="00CF4FFA"/>
    <w:rsid w:val="00D0286A"/>
    <w:rsid w:val="00D316C2"/>
    <w:rsid w:val="00D66D05"/>
    <w:rsid w:val="00D8276A"/>
    <w:rsid w:val="00D9769E"/>
    <w:rsid w:val="00DC79DB"/>
    <w:rsid w:val="00E02387"/>
    <w:rsid w:val="00E342C7"/>
    <w:rsid w:val="00E51375"/>
    <w:rsid w:val="00E55B31"/>
    <w:rsid w:val="00E737DB"/>
    <w:rsid w:val="00EB1596"/>
    <w:rsid w:val="00F03939"/>
    <w:rsid w:val="00F20BA0"/>
    <w:rsid w:val="00F22A96"/>
    <w:rsid w:val="00F31153"/>
    <w:rsid w:val="00F51033"/>
    <w:rsid w:val="00F86C65"/>
    <w:rsid w:val="00FD3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E0A"/>
    <w:pPr>
      <w:ind w:left="720"/>
      <w:contextualSpacing/>
    </w:pPr>
  </w:style>
  <w:style w:type="paragraph" w:styleId="Header">
    <w:name w:val="header"/>
    <w:basedOn w:val="Normal"/>
    <w:link w:val="HeaderChar"/>
    <w:uiPriority w:val="99"/>
    <w:unhideWhenUsed/>
    <w:rsid w:val="00AA0E0A"/>
    <w:pPr>
      <w:tabs>
        <w:tab w:val="center" w:pos="4703"/>
        <w:tab w:val="right" w:pos="9406"/>
      </w:tabs>
      <w:spacing w:after="0" w:line="240" w:lineRule="auto"/>
    </w:pPr>
  </w:style>
  <w:style w:type="character" w:customStyle="1" w:styleId="HeaderChar">
    <w:name w:val="Header Char"/>
    <w:basedOn w:val="DefaultParagraphFont"/>
    <w:link w:val="Header"/>
    <w:uiPriority w:val="99"/>
    <w:rsid w:val="00AA0E0A"/>
  </w:style>
  <w:style w:type="paragraph" w:styleId="Footer">
    <w:name w:val="footer"/>
    <w:basedOn w:val="Normal"/>
    <w:link w:val="FooterChar"/>
    <w:uiPriority w:val="99"/>
    <w:unhideWhenUsed/>
    <w:rsid w:val="00AA0E0A"/>
    <w:pPr>
      <w:tabs>
        <w:tab w:val="center" w:pos="4703"/>
        <w:tab w:val="right" w:pos="9406"/>
      </w:tabs>
      <w:spacing w:after="0" w:line="240" w:lineRule="auto"/>
    </w:pPr>
  </w:style>
  <w:style w:type="character" w:customStyle="1" w:styleId="FooterChar">
    <w:name w:val="Footer Char"/>
    <w:basedOn w:val="DefaultParagraphFont"/>
    <w:link w:val="Footer"/>
    <w:uiPriority w:val="99"/>
    <w:rsid w:val="00AA0E0A"/>
  </w:style>
  <w:style w:type="character" w:styleId="CommentReference">
    <w:name w:val="annotation reference"/>
    <w:basedOn w:val="DefaultParagraphFont"/>
    <w:uiPriority w:val="99"/>
    <w:semiHidden/>
    <w:unhideWhenUsed/>
    <w:rsid w:val="006A4781"/>
    <w:rPr>
      <w:sz w:val="16"/>
      <w:szCs w:val="16"/>
    </w:rPr>
  </w:style>
  <w:style w:type="paragraph" w:styleId="CommentText">
    <w:name w:val="annotation text"/>
    <w:basedOn w:val="Normal"/>
    <w:link w:val="CommentTextChar"/>
    <w:uiPriority w:val="99"/>
    <w:semiHidden/>
    <w:unhideWhenUsed/>
    <w:rsid w:val="006A4781"/>
    <w:pPr>
      <w:spacing w:line="240" w:lineRule="auto"/>
    </w:pPr>
    <w:rPr>
      <w:sz w:val="20"/>
      <w:szCs w:val="20"/>
    </w:rPr>
  </w:style>
  <w:style w:type="character" w:customStyle="1" w:styleId="CommentTextChar">
    <w:name w:val="Comment Text Char"/>
    <w:basedOn w:val="DefaultParagraphFont"/>
    <w:link w:val="CommentText"/>
    <w:uiPriority w:val="99"/>
    <w:semiHidden/>
    <w:rsid w:val="006A4781"/>
    <w:rPr>
      <w:sz w:val="20"/>
      <w:szCs w:val="20"/>
    </w:rPr>
  </w:style>
  <w:style w:type="paragraph" w:styleId="CommentSubject">
    <w:name w:val="annotation subject"/>
    <w:basedOn w:val="CommentText"/>
    <w:next w:val="CommentText"/>
    <w:link w:val="CommentSubjectChar"/>
    <w:uiPriority w:val="99"/>
    <w:semiHidden/>
    <w:unhideWhenUsed/>
    <w:rsid w:val="006A4781"/>
    <w:rPr>
      <w:b/>
      <w:bCs/>
    </w:rPr>
  </w:style>
  <w:style w:type="character" w:customStyle="1" w:styleId="CommentSubjectChar">
    <w:name w:val="Comment Subject Char"/>
    <w:basedOn w:val="CommentTextChar"/>
    <w:link w:val="CommentSubject"/>
    <w:uiPriority w:val="99"/>
    <w:semiHidden/>
    <w:rsid w:val="006A4781"/>
    <w:rPr>
      <w:b/>
      <w:bCs/>
      <w:sz w:val="20"/>
      <w:szCs w:val="20"/>
    </w:rPr>
  </w:style>
  <w:style w:type="paragraph" w:styleId="BalloonText">
    <w:name w:val="Balloon Text"/>
    <w:basedOn w:val="Normal"/>
    <w:link w:val="BalloonTextChar"/>
    <w:uiPriority w:val="99"/>
    <w:semiHidden/>
    <w:unhideWhenUsed/>
    <w:rsid w:val="006A4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781"/>
    <w:rPr>
      <w:rFonts w:ascii="Tahoma" w:hAnsi="Tahoma" w:cs="Tahoma"/>
      <w:sz w:val="16"/>
      <w:szCs w:val="16"/>
    </w:rPr>
  </w:style>
  <w:style w:type="paragraph" w:styleId="Revision">
    <w:name w:val="Revision"/>
    <w:hidden/>
    <w:uiPriority w:val="99"/>
    <w:semiHidden/>
    <w:rsid w:val="00F510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F5528-EC13-46A8-8AA4-0685D2C29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1355</Words>
  <Characters>6694</Characters>
  <Application>Microsoft Office Word</Application>
  <DocSecurity>0</DocSecurity>
  <Lines>119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2019-01-17T14:07:00Z</dcterms:created>
  <dcterms:modified xsi:type="dcterms:W3CDTF">2019-01-17T14:07:00Z</dcterms:modified>
</cp:coreProperties>
</file>