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87" w:rsidRPr="00890F7B" w:rsidRDefault="00263F87" w:rsidP="00263F87">
      <w:pPr>
        <w:spacing w:after="0" w:line="360" w:lineRule="auto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:rsidR="00263F87" w:rsidRPr="00890F7B" w:rsidRDefault="00B209C8" w:rsidP="00263F87">
      <w:pPr>
        <w:spacing w:after="0" w:line="360" w:lineRule="auto"/>
        <w:jc w:val="center"/>
        <w:rPr>
          <w:rFonts w:ascii="Times New Roman" w:hAnsi="Times New Roman"/>
          <w:b/>
          <w:lang w:val="en-GB"/>
        </w:rPr>
      </w:pPr>
      <w:r w:rsidRPr="00890F7B">
        <w:rPr>
          <w:rFonts w:ascii="Times New Roman" w:hAnsi="Times New Roman"/>
          <w:b/>
          <w:lang w:val="en-GB"/>
        </w:rPr>
        <w:t>PAYMENT INSTRUCTION</w:t>
      </w:r>
    </w:p>
    <w:p w:rsidR="00263F87" w:rsidRPr="00890F7B" w:rsidRDefault="00263F87" w:rsidP="00263F87">
      <w:pPr>
        <w:spacing w:after="0" w:line="360" w:lineRule="auto"/>
        <w:rPr>
          <w:rFonts w:ascii="Times New Roman" w:hAnsi="Times New Roman"/>
          <w:b/>
          <w:lang w:val="en-GB"/>
        </w:rPr>
      </w:pPr>
    </w:p>
    <w:p w:rsidR="00263F87" w:rsidRPr="00890F7B" w:rsidRDefault="00263F87" w:rsidP="00263F87">
      <w:pPr>
        <w:spacing w:after="0" w:line="360" w:lineRule="auto"/>
        <w:rPr>
          <w:rFonts w:ascii="Times New Roman" w:hAnsi="Times New Roman"/>
          <w:b/>
          <w:lang w:val="en-GB"/>
        </w:rPr>
      </w:pPr>
      <w:r w:rsidRPr="00890F7B">
        <w:rPr>
          <w:rFonts w:ascii="Times New Roman" w:hAnsi="Times New Roman"/>
          <w:b/>
          <w:lang w:val="en-GB"/>
        </w:rPr>
        <w:t xml:space="preserve">1. </w:t>
      </w:r>
      <w:r w:rsidR="00B209C8" w:rsidRPr="00890F7B">
        <w:rPr>
          <w:rFonts w:ascii="Times New Roman" w:hAnsi="Times New Roman"/>
          <w:b/>
          <w:lang w:val="en-GB"/>
        </w:rPr>
        <w:t>Application processing fee</w:t>
      </w:r>
    </w:p>
    <w:p w:rsidR="006F79A7" w:rsidRPr="00890F7B" w:rsidRDefault="00B209C8" w:rsidP="00263F87">
      <w:pPr>
        <w:spacing w:after="0" w:line="360" w:lineRule="auto"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>In accordance with</w:t>
      </w:r>
      <w:r w:rsidR="00263F87" w:rsidRPr="00890F7B">
        <w:rPr>
          <w:rFonts w:ascii="Times New Roman" w:hAnsi="Times New Roman"/>
          <w:lang w:val="en-GB"/>
        </w:rPr>
        <w:t xml:space="preserve"> </w:t>
      </w:r>
      <w:r w:rsidR="00CD42DA">
        <w:rPr>
          <w:rFonts w:ascii="Times New Roman" w:hAnsi="Times New Roman"/>
          <w:lang w:val="en-GB"/>
        </w:rPr>
        <w:t>t</w:t>
      </w:r>
      <w:r w:rsidR="006F79A7" w:rsidRPr="00890F7B">
        <w:rPr>
          <w:rFonts w:ascii="Times New Roman" w:hAnsi="Times New Roman"/>
          <w:lang w:val="en-GB"/>
        </w:rPr>
        <w:t>ariff number</w:t>
      </w:r>
      <w:r w:rsidR="00CF4546" w:rsidRPr="00890F7B">
        <w:rPr>
          <w:rFonts w:ascii="Times New Roman" w:hAnsi="Times New Roman"/>
          <w:lang w:val="en-GB"/>
        </w:rPr>
        <w:t xml:space="preserve"> 4</w:t>
      </w:r>
      <w:r w:rsidR="006F79A7" w:rsidRPr="00890F7B">
        <w:rPr>
          <w:rFonts w:ascii="Times New Roman" w:hAnsi="Times New Roman"/>
          <w:lang w:val="en-GB"/>
        </w:rPr>
        <w:t xml:space="preserve">, </w:t>
      </w:r>
      <w:r w:rsidR="00CD42DA">
        <w:rPr>
          <w:rFonts w:ascii="Times New Roman" w:hAnsi="Times New Roman"/>
          <w:lang w:val="en-GB"/>
        </w:rPr>
        <w:t>t</w:t>
      </w:r>
      <w:r w:rsidR="006F79A7" w:rsidRPr="00890F7B">
        <w:rPr>
          <w:rFonts w:ascii="Times New Roman" w:hAnsi="Times New Roman"/>
          <w:lang w:val="en-GB"/>
        </w:rPr>
        <w:t xml:space="preserve">ariff item 2 of the Decision on Uniform Fees Charged for Services Provided by the National Bank of Serbia, the National Bank of Serbia charges a fee </w:t>
      </w:r>
      <w:r w:rsidR="008945D6" w:rsidRPr="00890F7B">
        <w:rPr>
          <w:rFonts w:ascii="Times New Roman" w:hAnsi="Times New Roman"/>
          <w:lang w:val="en-GB"/>
        </w:rPr>
        <w:t xml:space="preserve">of </w:t>
      </w:r>
      <w:r w:rsidR="008945D6" w:rsidRPr="00432A6C">
        <w:rPr>
          <w:rFonts w:ascii="Times New Roman" w:hAnsi="Times New Roman"/>
          <w:b/>
          <w:lang w:val="en-GB"/>
        </w:rPr>
        <w:t>RSD 220,000.00</w:t>
      </w:r>
      <w:r w:rsidR="008945D6">
        <w:rPr>
          <w:rFonts w:ascii="Times New Roman" w:hAnsi="Times New Roman"/>
          <w:lang w:val="en-GB"/>
        </w:rPr>
        <w:t xml:space="preserve"> </w:t>
      </w:r>
      <w:r w:rsidR="006F79A7" w:rsidRPr="00890F7B">
        <w:rPr>
          <w:rFonts w:ascii="Times New Roman" w:hAnsi="Times New Roman"/>
          <w:lang w:val="en-GB"/>
        </w:rPr>
        <w:t xml:space="preserve">for </w:t>
      </w:r>
      <w:r w:rsidR="008945D6">
        <w:rPr>
          <w:rFonts w:ascii="Times New Roman" w:hAnsi="Times New Roman"/>
          <w:lang w:val="en-GB"/>
        </w:rPr>
        <w:t>deciding</w:t>
      </w:r>
      <w:r w:rsidR="006F79A7" w:rsidRPr="00890F7B">
        <w:rPr>
          <w:rFonts w:ascii="Times New Roman" w:hAnsi="Times New Roman"/>
          <w:lang w:val="en-GB"/>
        </w:rPr>
        <w:t xml:space="preserve"> on the application </w:t>
      </w:r>
      <w:r w:rsidR="006626E4" w:rsidRPr="00890F7B">
        <w:rPr>
          <w:rFonts w:ascii="Times New Roman" w:hAnsi="Times New Roman"/>
          <w:lang w:val="en-GB"/>
        </w:rPr>
        <w:t xml:space="preserve">submitted by a bank or </w:t>
      </w:r>
      <w:r w:rsidR="00CD42DA">
        <w:rPr>
          <w:rFonts w:ascii="Times New Roman" w:hAnsi="Times New Roman"/>
          <w:lang w:val="en-GB"/>
        </w:rPr>
        <w:t>an</w:t>
      </w:r>
      <w:r w:rsidR="006626E4" w:rsidRPr="00890F7B">
        <w:rPr>
          <w:rFonts w:ascii="Times New Roman" w:hAnsi="Times New Roman"/>
          <w:lang w:val="en-GB"/>
        </w:rPr>
        <w:t>other person</w:t>
      </w:r>
      <w:r w:rsidR="00CD42DA">
        <w:rPr>
          <w:rFonts w:ascii="Times New Roman" w:hAnsi="Times New Roman"/>
          <w:lang w:val="en-GB"/>
        </w:rPr>
        <w:t>, asking</w:t>
      </w:r>
      <w:r w:rsidR="006626E4">
        <w:rPr>
          <w:rFonts w:ascii="Times New Roman" w:hAnsi="Times New Roman"/>
          <w:lang w:val="en-GB"/>
        </w:rPr>
        <w:t xml:space="preserve"> </w:t>
      </w:r>
      <w:r w:rsidR="008945D6">
        <w:rPr>
          <w:rFonts w:ascii="Times New Roman" w:hAnsi="Times New Roman"/>
          <w:lang w:val="en-GB"/>
        </w:rPr>
        <w:t xml:space="preserve">for </w:t>
      </w:r>
      <w:r w:rsidR="00CD42DA">
        <w:rPr>
          <w:rFonts w:ascii="Times New Roman" w:hAnsi="Times New Roman"/>
          <w:lang w:val="en-GB"/>
        </w:rPr>
        <w:t xml:space="preserve">its </w:t>
      </w:r>
      <w:r w:rsidR="008945D6">
        <w:rPr>
          <w:rFonts w:ascii="Times New Roman" w:hAnsi="Times New Roman"/>
          <w:lang w:val="en-GB"/>
        </w:rPr>
        <w:t xml:space="preserve">consent </w:t>
      </w:r>
      <w:r w:rsidR="001C4EFE">
        <w:rPr>
          <w:rFonts w:ascii="Times New Roman" w:hAnsi="Times New Roman"/>
          <w:lang w:val="en-GB"/>
        </w:rPr>
        <w:t>and</w:t>
      </w:r>
      <w:r w:rsidR="008945D6">
        <w:rPr>
          <w:rFonts w:ascii="Times New Roman" w:hAnsi="Times New Roman"/>
          <w:lang w:val="en-GB"/>
        </w:rPr>
        <w:t xml:space="preserve"> approval</w:t>
      </w:r>
      <w:r w:rsidR="00CD42DA">
        <w:rPr>
          <w:rFonts w:ascii="Times New Roman" w:hAnsi="Times New Roman"/>
          <w:lang w:val="en-GB"/>
        </w:rPr>
        <w:t>,</w:t>
      </w:r>
      <w:r w:rsidR="008945D6">
        <w:rPr>
          <w:rFonts w:ascii="Times New Roman" w:hAnsi="Times New Roman"/>
          <w:lang w:val="en-GB"/>
        </w:rPr>
        <w:t xml:space="preserve"> or </w:t>
      </w:r>
      <w:r w:rsidR="00CD42DA">
        <w:rPr>
          <w:rFonts w:ascii="Times New Roman" w:hAnsi="Times New Roman"/>
          <w:lang w:val="en-GB"/>
        </w:rPr>
        <w:t>to establish</w:t>
      </w:r>
      <w:r w:rsidR="008945D6">
        <w:rPr>
          <w:rFonts w:ascii="Times New Roman" w:hAnsi="Times New Roman"/>
          <w:lang w:val="en-GB"/>
        </w:rPr>
        <w:t xml:space="preserve"> </w:t>
      </w:r>
      <w:r w:rsidR="00CD42DA">
        <w:rPr>
          <w:rFonts w:ascii="Times New Roman" w:hAnsi="Times New Roman"/>
          <w:lang w:val="en-GB"/>
        </w:rPr>
        <w:t xml:space="preserve">whether </w:t>
      </w:r>
      <w:r w:rsidR="008945D6">
        <w:rPr>
          <w:rFonts w:ascii="Times New Roman" w:hAnsi="Times New Roman"/>
          <w:lang w:val="en-GB"/>
        </w:rPr>
        <w:t>the prescribed conditions</w:t>
      </w:r>
      <w:r w:rsidR="00CD42DA">
        <w:rPr>
          <w:rFonts w:ascii="Times New Roman" w:hAnsi="Times New Roman"/>
          <w:lang w:val="en-GB"/>
        </w:rPr>
        <w:t xml:space="preserve"> have been met</w:t>
      </w:r>
      <w:r w:rsidR="006F79A7" w:rsidRPr="00890F7B">
        <w:rPr>
          <w:rFonts w:ascii="Times New Roman" w:hAnsi="Times New Roman"/>
          <w:lang w:val="en-GB"/>
        </w:rPr>
        <w:t>.</w:t>
      </w:r>
    </w:p>
    <w:p w:rsidR="00263F87" w:rsidRPr="00890F7B" w:rsidRDefault="006F79A7" w:rsidP="00263F87">
      <w:pPr>
        <w:spacing w:after="0" w:line="360" w:lineRule="auto"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>In line therewith, payment should be made according to the following instruction:</w:t>
      </w:r>
    </w:p>
    <w:p w:rsidR="00263F87" w:rsidRPr="00890F7B" w:rsidRDefault="006F79A7" w:rsidP="00263F87">
      <w:pPr>
        <w:spacing w:after="0" w:line="360" w:lineRule="auto"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>Service beneficiary</w:t>
      </w:r>
      <w:r w:rsidR="00263F87" w:rsidRPr="00890F7B">
        <w:rPr>
          <w:rFonts w:ascii="Times New Roman" w:hAnsi="Times New Roman"/>
          <w:lang w:val="en-GB"/>
        </w:rPr>
        <w:t>: ____________________</w:t>
      </w:r>
    </w:p>
    <w:p w:rsidR="00263F87" w:rsidRPr="00890F7B" w:rsidRDefault="006F79A7" w:rsidP="00263F87">
      <w:pPr>
        <w:spacing w:after="0" w:line="360" w:lineRule="auto"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>Place and address</w:t>
      </w:r>
      <w:r w:rsidR="00263F87" w:rsidRPr="00890F7B">
        <w:rPr>
          <w:rFonts w:ascii="Times New Roman" w:hAnsi="Times New Roman"/>
          <w:lang w:val="en-GB"/>
        </w:rPr>
        <w:t>: ____________________</w:t>
      </w:r>
    </w:p>
    <w:p w:rsidR="00263F87" w:rsidRPr="00890F7B" w:rsidRDefault="006F79A7" w:rsidP="00263F87">
      <w:pPr>
        <w:spacing w:after="120" w:line="360" w:lineRule="auto"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>TIN</w:t>
      </w:r>
      <w:r w:rsidR="00263F87" w:rsidRPr="00890F7B">
        <w:rPr>
          <w:rFonts w:ascii="Times New Roman" w:hAnsi="Times New Roman"/>
          <w:lang w:val="en-GB"/>
        </w:rPr>
        <w:t>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3F87" w:rsidRPr="00890F7B" w:rsidTr="00D44885">
        <w:tc>
          <w:tcPr>
            <w:tcW w:w="2394" w:type="dxa"/>
            <w:shd w:val="clear" w:color="auto" w:fill="auto"/>
            <w:vAlign w:val="center"/>
          </w:tcPr>
          <w:p w:rsidR="00263F87" w:rsidRPr="00890F7B" w:rsidRDefault="006F79A7" w:rsidP="00D448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90F7B">
              <w:rPr>
                <w:rFonts w:ascii="Times New Roman" w:hAnsi="Times New Roman"/>
                <w:b/>
                <w:lang w:val="en-GB"/>
              </w:rPr>
              <w:t>Service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63F87" w:rsidRPr="00890F7B" w:rsidRDefault="006F79A7" w:rsidP="00D448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90F7B">
              <w:rPr>
                <w:rFonts w:ascii="Times New Roman" w:hAnsi="Times New Roman"/>
                <w:b/>
                <w:lang w:val="en-GB"/>
              </w:rPr>
              <w:t>Price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63F87" w:rsidRPr="00890F7B" w:rsidRDefault="006F79A7" w:rsidP="00D448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90F7B">
              <w:rPr>
                <w:rFonts w:ascii="Times New Roman" w:hAnsi="Times New Roman"/>
                <w:b/>
                <w:lang w:val="en-GB"/>
              </w:rPr>
              <w:t>VAT rate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63F87" w:rsidRPr="00890F7B" w:rsidRDefault="008945D6" w:rsidP="00D448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Payment amount</w:t>
            </w:r>
          </w:p>
        </w:tc>
      </w:tr>
      <w:tr w:rsidR="00263F87" w:rsidRPr="00890F7B" w:rsidTr="00D44885">
        <w:tc>
          <w:tcPr>
            <w:tcW w:w="2394" w:type="dxa"/>
            <w:shd w:val="clear" w:color="auto" w:fill="auto"/>
            <w:vAlign w:val="center"/>
          </w:tcPr>
          <w:p w:rsidR="00263F87" w:rsidRPr="00890F7B" w:rsidRDefault="006F79A7" w:rsidP="00D448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90F7B">
              <w:rPr>
                <w:rFonts w:ascii="Times New Roman" w:hAnsi="Times New Roman"/>
                <w:lang w:val="en-GB"/>
              </w:rPr>
              <w:t>Deciding on application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63F87" w:rsidRPr="00890F7B" w:rsidRDefault="00263F87" w:rsidP="006F79A7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90F7B">
              <w:rPr>
                <w:rFonts w:ascii="Times New Roman" w:hAnsi="Times New Roman"/>
                <w:lang w:val="en-GB"/>
              </w:rPr>
              <w:t>220</w:t>
            </w:r>
            <w:r w:rsidR="006F79A7" w:rsidRPr="00890F7B">
              <w:rPr>
                <w:rFonts w:ascii="Times New Roman" w:hAnsi="Times New Roman"/>
                <w:lang w:val="en-GB"/>
              </w:rPr>
              <w:t>,</w:t>
            </w:r>
            <w:r w:rsidRPr="00890F7B">
              <w:rPr>
                <w:rFonts w:ascii="Times New Roman" w:hAnsi="Times New Roman"/>
                <w:lang w:val="en-GB"/>
              </w:rPr>
              <w:t>000</w:t>
            </w:r>
            <w:r w:rsidR="006F79A7" w:rsidRPr="00890F7B">
              <w:rPr>
                <w:rFonts w:ascii="Times New Roman" w:hAnsi="Times New Roman"/>
                <w:lang w:val="en-GB"/>
              </w:rPr>
              <w:t>.</w:t>
            </w:r>
            <w:r w:rsidRPr="00890F7B">
              <w:rPr>
                <w:rFonts w:ascii="Times New Roman" w:hAnsi="Times New Roman"/>
                <w:lang w:val="en-GB"/>
              </w:rPr>
              <w:t>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63F87" w:rsidRPr="00890F7B" w:rsidRDefault="00263F87" w:rsidP="00D448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90F7B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63F87" w:rsidRPr="00890F7B" w:rsidRDefault="00263F87" w:rsidP="006F79A7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90F7B">
              <w:rPr>
                <w:rFonts w:ascii="Times New Roman" w:hAnsi="Times New Roman"/>
                <w:lang w:val="en-GB"/>
              </w:rPr>
              <w:t>220</w:t>
            </w:r>
            <w:r w:rsidR="006F79A7" w:rsidRPr="00890F7B">
              <w:rPr>
                <w:rFonts w:ascii="Times New Roman" w:hAnsi="Times New Roman"/>
                <w:lang w:val="en-GB"/>
              </w:rPr>
              <w:t>,</w:t>
            </w:r>
            <w:r w:rsidRPr="00890F7B">
              <w:rPr>
                <w:rFonts w:ascii="Times New Roman" w:hAnsi="Times New Roman"/>
                <w:lang w:val="en-GB"/>
              </w:rPr>
              <w:t>000</w:t>
            </w:r>
            <w:r w:rsidR="006F79A7" w:rsidRPr="00890F7B">
              <w:rPr>
                <w:rFonts w:ascii="Times New Roman" w:hAnsi="Times New Roman"/>
                <w:lang w:val="en-GB"/>
              </w:rPr>
              <w:t>.</w:t>
            </w:r>
            <w:r w:rsidRPr="00890F7B">
              <w:rPr>
                <w:rFonts w:ascii="Times New Roman" w:hAnsi="Times New Roman"/>
                <w:lang w:val="en-GB"/>
              </w:rPr>
              <w:t>00</w:t>
            </w:r>
          </w:p>
        </w:tc>
      </w:tr>
    </w:tbl>
    <w:p w:rsidR="00263F87" w:rsidRPr="00890F7B" w:rsidRDefault="006F79A7" w:rsidP="00263F87">
      <w:pPr>
        <w:spacing w:after="120" w:line="360" w:lineRule="auto"/>
        <w:contextualSpacing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>In letters</w:t>
      </w:r>
      <w:r w:rsidR="00263F87" w:rsidRPr="00890F7B">
        <w:rPr>
          <w:rFonts w:ascii="Times New Roman" w:hAnsi="Times New Roman"/>
          <w:lang w:val="en-GB"/>
        </w:rPr>
        <w:t xml:space="preserve">: </w:t>
      </w:r>
      <w:r w:rsidRPr="00890F7B">
        <w:rPr>
          <w:rFonts w:ascii="Times New Roman" w:hAnsi="Times New Roman"/>
          <w:lang w:val="en-GB"/>
        </w:rPr>
        <w:t xml:space="preserve">two hundred </w:t>
      </w:r>
      <w:r w:rsidR="00CD42DA">
        <w:rPr>
          <w:rFonts w:ascii="Times New Roman" w:hAnsi="Times New Roman"/>
          <w:lang w:val="en-GB"/>
        </w:rPr>
        <w:t xml:space="preserve">and </w:t>
      </w:r>
      <w:r w:rsidRPr="00890F7B">
        <w:rPr>
          <w:rFonts w:ascii="Times New Roman" w:hAnsi="Times New Roman"/>
          <w:lang w:val="en-GB"/>
        </w:rPr>
        <w:t>twenty thousand dinars</w:t>
      </w:r>
      <w:r w:rsidR="00263F87" w:rsidRPr="00890F7B">
        <w:rPr>
          <w:rFonts w:ascii="Times New Roman" w:hAnsi="Times New Roman"/>
          <w:lang w:val="en-GB"/>
        </w:rPr>
        <w:tab/>
      </w:r>
      <w:r w:rsidR="00263F87" w:rsidRPr="00890F7B">
        <w:rPr>
          <w:rFonts w:ascii="Times New Roman" w:hAnsi="Times New Roman"/>
          <w:lang w:val="en-GB"/>
        </w:rPr>
        <w:tab/>
      </w:r>
    </w:p>
    <w:p w:rsidR="00263F87" w:rsidRPr="00890F7B" w:rsidRDefault="006F79A7" w:rsidP="00263F87">
      <w:pPr>
        <w:spacing w:after="120" w:line="360" w:lineRule="auto"/>
        <w:contextualSpacing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 xml:space="preserve">The above amount is credited to the account </w:t>
      </w:r>
      <w:r w:rsidR="00CD42DA">
        <w:rPr>
          <w:rFonts w:ascii="Times New Roman" w:hAnsi="Times New Roman"/>
          <w:lang w:val="en-GB"/>
        </w:rPr>
        <w:t>of</w:t>
      </w:r>
      <w:r w:rsidRPr="00890F7B">
        <w:rPr>
          <w:rFonts w:ascii="Times New Roman" w:hAnsi="Times New Roman"/>
          <w:lang w:val="en-GB"/>
        </w:rPr>
        <w:t xml:space="preserve"> the National Bank of Serbia No</w:t>
      </w:r>
      <w:r w:rsidR="00263F87" w:rsidRPr="00890F7B">
        <w:rPr>
          <w:rFonts w:ascii="Times New Roman" w:hAnsi="Times New Roman"/>
          <w:lang w:val="en-GB"/>
        </w:rPr>
        <w:t xml:space="preserve"> </w:t>
      </w:r>
      <w:r w:rsidR="00263F87" w:rsidRPr="00890F7B">
        <w:rPr>
          <w:rFonts w:ascii="Times New Roman" w:hAnsi="Times New Roman"/>
          <w:b/>
          <w:lang w:val="en-GB"/>
        </w:rPr>
        <w:t>980-702-64</w:t>
      </w:r>
      <w:r w:rsidRPr="00890F7B">
        <w:rPr>
          <w:rFonts w:ascii="Times New Roman" w:hAnsi="Times New Roman"/>
          <w:b/>
          <w:lang w:val="en-GB"/>
        </w:rPr>
        <w:t xml:space="preserve">, </w:t>
      </w:r>
      <w:r w:rsidRPr="00890F7B">
        <w:rPr>
          <w:rFonts w:ascii="Times New Roman" w:hAnsi="Times New Roman"/>
          <w:lang w:val="en-GB"/>
        </w:rPr>
        <w:t>reference number</w:t>
      </w:r>
      <w:r w:rsidR="00263F87" w:rsidRPr="00890F7B">
        <w:rPr>
          <w:rFonts w:ascii="Times New Roman" w:hAnsi="Times New Roman"/>
          <w:lang w:val="en-GB"/>
        </w:rPr>
        <w:t xml:space="preserve"> </w:t>
      </w:r>
      <w:r w:rsidR="00263F87" w:rsidRPr="00890F7B">
        <w:rPr>
          <w:rFonts w:ascii="Times New Roman" w:hAnsi="Times New Roman"/>
          <w:b/>
          <w:lang w:val="en-GB"/>
        </w:rPr>
        <w:t>9-04000</w:t>
      </w:r>
      <w:r w:rsidR="00D107DA" w:rsidRPr="00890F7B">
        <w:rPr>
          <w:rFonts w:ascii="Times New Roman" w:hAnsi="Times New Roman"/>
          <w:b/>
          <w:lang w:val="en-GB"/>
        </w:rPr>
        <w:t>2</w:t>
      </w:r>
      <w:r w:rsidR="00263F87" w:rsidRPr="00890F7B">
        <w:rPr>
          <w:rFonts w:ascii="Times New Roman" w:hAnsi="Times New Roman"/>
          <w:b/>
          <w:lang w:val="en-GB"/>
        </w:rPr>
        <w:t>-</w:t>
      </w:r>
      <w:r w:rsidRPr="00911C58">
        <w:rPr>
          <w:rFonts w:ascii="Times New Roman" w:hAnsi="Times New Roman"/>
          <w:b/>
          <w:lang w:val="en-GB"/>
        </w:rPr>
        <w:t>registration number</w:t>
      </w:r>
      <w:r w:rsidR="00263F87" w:rsidRPr="00911C58">
        <w:rPr>
          <w:rFonts w:ascii="Times New Roman" w:hAnsi="Times New Roman"/>
          <w:lang w:val="en-GB"/>
        </w:rPr>
        <w:t>.</w:t>
      </w:r>
    </w:p>
    <w:p w:rsidR="00263F87" w:rsidRPr="00890F7B" w:rsidRDefault="006F79A7" w:rsidP="00263F87">
      <w:pPr>
        <w:spacing w:after="120"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890F7B">
        <w:rPr>
          <w:rFonts w:ascii="Times New Roman" w:hAnsi="Times New Roman"/>
          <w:b/>
          <w:lang w:val="en-GB"/>
        </w:rPr>
        <w:t>NOTE</w:t>
      </w:r>
      <w:r w:rsidR="00263F87" w:rsidRPr="00890F7B">
        <w:rPr>
          <w:rFonts w:ascii="Times New Roman" w:hAnsi="Times New Roman"/>
          <w:b/>
          <w:lang w:val="en-GB"/>
        </w:rPr>
        <w:t>:</w:t>
      </w:r>
    </w:p>
    <w:p w:rsidR="00263F87" w:rsidRDefault="006F79A7" w:rsidP="00263F87">
      <w:pPr>
        <w:spacing w:after="120" w:line="360" w:lineRule="auto"/>
        <w:contextualSpacing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 xml:space="preserve">This document </w:t>
      </w:r>
      <w:r w:rsidR="00EA5B26">
        <w:rPr>
          <w:rFonts w:ascii="Times New Roman" w:hAnsi="Times New Roman"/>
          <w:lang w:val="en-GB"/>
        </w:rPr>
        <w:t xml:space="preserve">does not constitute </w:t>
      </w:r>
      <w:r w:rsidR="00400AC4">
        <w:rPr>
          <w:rFonts w:ascii="Times New Roman" w:hAnsi="Times New Roman"/>
          <w:lang w:val="en-GB"/>
        </w:rPr>
        <w:t xml:space="preserve">a bill </w:t>
      </w:r>
      <w:r w:rsidR="005F7576">
        <w:rPr>
          <w:rFonts w:ascii="Times New Roman" w:hAnsi="Times New Roman"/>
          <w:lang w:val="en-GB"/>
        </w:rPr>
        <w:t>under</w:t>
      </w:r>
      <w:r w:rsidRPr="00890F7B">
        <w:rPr>
          <w:rFonts w:ascii="Times New Roman" w:hAnsi="Times New Roman"/>
          <w:lang w:val="en-GB"/>
        </w:rPr>
        <w:t xml:space="preserve"> Article 42 of the </w:t>
      </w:r>
      <w:r w:rsidR="000B6231">
        <w:rPr>
          <w:rFonts w:ascii="Times New Roman" w:hAnsi="Times New Roman"/>
          <w:lang w:val="en-US"/>
        </w:rPr>
        <w:t>Law on Value Added Tax</w:t>
      </w:r>
      <w:r w:rsidRPr="00890F7B">
        <w:rPr>
          <w:rFonts w:ascii="Times New Roman" w:hAnsi="Times New Roman"/>
          <w:lang w:val="en-GB"/>
        </w:rPr>
        <w:t xml:space="preserve">. </w:t>
      </w:r>
      <w:r w:rsidR="00911C58">
        <w:rPr>
          <w:rFonts w:ascii="Times New Roman" w:hAnsi="Times New Roman"/>
          <w:lang w:val="en-GB"/>
        </w:rPr>
        <w:t xml:space="preserve">The </w:t>
      </w:r>
      <w:r w:rsidRPr="00890F7B">
        <w:rPr>
          <w:rFonts w:ascii="Times New Roman" w:hAnsi="Times New Roman"/>
          <w:lang w:val="en-GB"/>
        </w:rPr>
        <w:t xml:space="preserve">right to </w:t>
      </w:r>
      <w:r w:rsidR="001406D7">
        <w:rPr>
          <w:rFonts w:ascii="Times New Roman" w:hAnsi="Times New Roman"/>
          <w:lang w:val="en-GB"/>
        </w:rPr>
        <w:t>preliminary tax deduction</w:t>
      </w:r>
      <w:r w:rsidRPr="00890F7B">
        <w:rPr>
          <w:rFonts w:ascii="Times New Roman" w:hAnsi="Times New Roman"/>
          <w:lang w:val="en-GB"/>
        </w:rPr>
        <w:t xml:space="preserve"> under Article 28 of the </w:t>
      </w:r>
      <w:r w:rsidR="000B6231">
        <w:rPr>
          <w:rFonts w:ascii="Times New Roman" w:hAnsi="Times New Roman"/>
          <w:lang w:val="en-US"/>
        </w:rPr>
        <w:t xml:space="preserve">Law on Value Added Tax </w:t>
      </w:r>
      <w:r w:rsidRPr="00890F7B">
        <w:rPr>
          <w:rFonts w:ascii="Times New Roman" w:hAnsi="Times New Roman"/>
          <w:lang w:val="en-GB"/>
        </w:rPr>
        <w:t>cannot be exercised</w:t>
      </w:r>
      <w:r w:rsidR="00911C58">
        <w:rPr>
          <w:rFonts w:ascii="Times New Roman" w:hAnsi="Times New Roman"/>
          <w:lang w:val="en-GB"/>
        </w:rPr>
        <w:t xml:space="preserve"> o</w:t>
      </w:r>
      <w:r w:rsidR="00911C58" w:rsidRPr="00890F7B">
        <w:rPr>
          <w:rFonts w:ascii="Times New Roman" w:hAnsi="Times New Roman"/>
          <w:lang w:val="en-GB"/>
        </w:rPr>
        <w:t>n the basis of this document</w:t>
      </w:r>
      <w:r w:rsidRPr="00890F7B">
        <w:rPr>
          <w:rFonts w:ascii="Times New Roman" w:hAnsi="Times New Roman"/>
          <w:lang w:val="en-GB"/>
        </w:rPr>
        <w:t>.</w:t>
      </w:r>
    </w:p>
    <w:p w:rsidR="00256110" w:rsidRPr="00890F7B" w:rsidRDefault="00256110" w:rsidP="00263F87">
      <w:pPr>
        <w:spacing w:after="120" w:line="360" w:lineRule="auto"/>
        <w:contextualSpacing/>
        <w:jc w:val="both"/>
        <w:rPr>
          <w:rFonts w:ascii="Times New Roman" w:hAnsi="Times New Roman"/>
          <w:lang w:val="en-GB"/>
        </w:rPr>
      </w:pPr>
    </w:p>
    <w:p w:rsidR="00263F87" w:rsidRPr="00890F7B" w:rsidRDefault="00263F87" w:rsidP="00263F87">
      <w:pPr>
        <w:spacing w:after="0" w:line="360" w:lineRule="auto"/>
        <w:rPr>
          <w:rFonts w:ascii="Times New Roman" w:hAnsi="Times New Roman"/>
          <w:b/>
          <w:lang w:val="en-GB"/>
        </w:rPr>
      </w:pPr>
      <w:r w:rsidRPr="00890F7B">
        <w:rPr>
          <w:rFonts w:ascii="Times New Roman" w:hAnsi="Times New Roman"/>
          <w:b/>
          <w:lang w:val="en-GB"/>
        </w:rPr>
        <w:t xml:space="preserve">2. </w:t>
      </w:r>
      <w:r w:rsidR="006F79A7" w:rsidRPr="00890F7B">
        <w:rPr>
          <w:rFonts w:ascii="Times New Roman" w:hAnsi="Times New Roman"/>
          <w:b/>
          <w:lang w:val="en-GB"/>
        </w:rPr>
        <w:t xml:space="preserve">Republic administrative </w:t>
      </w:r>
      <w:r w:rsidR="00836347">
        <w:rPr>
          <w:rFonts w:ascii="Times New Roman" w:hAnsi="Times New Roman"/>
          <w:b/>
          <w:lang w:val="en-GB"/>
        </w:rPr>
        <w:t>fee</w:t>
      </w:r>
    </w:p>
    <w:p w:rsidR="006F79A7" w:rsidRPr="00890F7B" w:rsidRDefault="006F79A7" w:rsidP="00263F87">
      <w:pPr>
        <w:spacing w:after="0" w:line="360" w:lineRule="auto"/>
        <w:jc w:val="both"/>
        <w:rPr>
          <w:rFonts w:ascii="Times New Roman" w:hAnsi="Times New Roman"/>
          <w:lang w:val="en-GB"/>
        </w:rPr>
      </w:pPr>
      <w:r w:rsidRPr="00890F7B">
        <w:rPr>
          <w:rFonts w:ascii="Times New Roman" w:hAnsi="Times New Roman"/>
          <w:lang w:val="en-GB"/>
        </w:rPr>
        <w:t xml:space="preserve">In accordance with </w:t>
      </w:r>
      <w:r w:rsidR="00CD42DA">
        <w:rPr>
          <w:rFonts w:ascii="Times New Roman" w:hAnsi="Times New Roman"/>
          <w:lang w:val="en-GB"/>
        </w:rPr>
        <w:t>t</w:t>
      </w:r>
      <w:r w:rsidRPr="00890F7B">
        <w:rPr>
          <w:rFonts w:ascii="Times New Roman" w:hAnsi="Times New Roman"/>
          <w:lang w:val="en-GB"/>
        </w:rPr>
        <w:t xml:space="preserve">ariff numbers 1 and 9, Section A of the Tariff of Republic Administrative </w:t>
      </w:r>
      <w:r w:rsidR="00DE6EC6" w:rsidRPr="00890F7B">
        <w:rPr>
          <w:rFonts w:ascii="Times New Roman" w:hAnsi="Times New Roman"/>
          <w:lang w:val="en-GB"/>
        </w:rPr>
        <w:t>Tax</w:t>
      </w:r>
      <w:r w:rsidR="00263F87" w:rsidRPr="00890F7B">
        <w:rPr>
          <w:rFonts w:ascii="Times New Roman" w:hAnsi="Times New Roman"/>
          <w:lang w:val="en-GB"/>
        </w:rPr>
        <w:t xml:space="preserve"> </w:t>
      </w:r>
      <w:r w:rsidRPr="00890F7B">
        <w:rPr>
          <w:rFonts w:ascii="Times New Roman" w:hAnsi="Times New Roman"/>
          <w:lang w:val="en-GB"/>
        </w:rPr>
        <w:t xml:space="preserve">of the Law on Republic Administrative </w:t>
      </w:r>
      <w:r w:rsidR="00CD42DA">
        <w:rPr>
          <w:rFonts w:ascii="Times New Roman" w:hAnsi="Times New Roman"/>
          <w:lang w:val="en-GB"/>
        </w:rPr>
        <w:t>Fees</w:t>
      </w:r>
      <w:r w:rsidRPr="00890F7B">
        <w:rPr>
          <w:rFonts w:ascii="Times New Roman" w:hAnsi="Times New Roman"/>
          <w:lang w:val="en-GB"/>
        </w:rPr>
        <w:t xml:space="preserve">, the republic administrative </w:t>
      </w:r>
      <w:r w:rsidR="00CD42DA">
        <w:rPr>
          <w:rFonts w:ascii="Times New Roman" w:hAnsi="Times New Roman"/>
          <w:lang w:val="en-GB"/>
        </w:rPr>
        <w:t>fee</w:t>
      </w:r>
      <w:r w:rsidRPr="00890F7B">
        <w:rPr>
          <w:rFonts w:ascii="Times New Roman" w:hAnsi="Times New Roman"/>
          <w:lang w:val="en-GB"/>
        </w:rPr>
        <w:t xml:space="preserve"> of </w:t>
      </w:r>
      <w:r w:rsidRPr="00432A6C">
        <w:rPr>
          <w:rFonts w:ascii="Times New Roman" w:hAnsi="Times New Roman"/>
          <w:b/>
          <w:lang w:val="en-GB"/>
        </w:rPr>
        <w:t>RSD</w:t>
      </w:r>
      <w:r w:rsidRPr="00890F7B">
        <w:rPr>
          <w:rFonts w:ascii="Times New Roman" w:hAnsi="Times New Roman"/>
          <w:lang w:val="en-GB"/>
        </w:rPr>
        <w:t xml:space="preserve"> </w:t>
      </w:r>
      <w:r w:rsidRPr="00890F7B">
        <w:rPr>
          <w:rFonts w:ascii="Times New Roman" w:hAnsi="Times New Roman"/>
          <w:b/>
          <w:lang w:val="en-GB"/>
        </w:rPr>
        <w:t>8</w:t>
      </w:r>
      <w:r w:rsidR="00DF4532">
        <w:rPr>
          <w:rFonts w:ascii="Times New Roman" w:hAnsi="Times New Roman"/>
          <w:b/>
          <w:lang w:val="en-GB"/>
        </w:rPr>
        <w:t>7</w:t>
      </w:r>
      <w:r w:rsidRPr="00890F7B">
        <w:rPr>
          <w:rFonts w:ascii="Times New Roman" w:hAnsi="Times New Roman"/>
          <w:b/>
          <w:lang w:val="en-GB"/>
        </w:rPr>
        <w:t xml:space="preserve">0.00 </w:t>
      </w:r>
      <w:r w:rsidR="00461DF3" w:rsidRPr="00400AC4">
        <w:rPr>
          <w:rFonts w:ascii="Times New Roman" w:hAnsi="Times New Roman"/>
          <w:lang w:val="en-GB"/>
        </w:rPr>
        <w:t>is payable</w:t>
      </w:r>
      <w:r w:rsidR="00461DF3">
        <w:rPr>
          <w:rFonts w:ascii="Times New Roman" w:hAnsi="Times New Roman"/>
          <w:b/>
          <w:lang w:val="en-GB"/>
        </w:rPr>
        <w:t xml:space="preserve"> </w:t>
      </w:r>
      <w:r w:rsidRPr="00890F7B">
        <w:rPr>
          <w:rFonts w:ascii="Times New Roman" w:hAnsi="Times New Roman"/>
          <w:lang w:val="en-GB"/>
        </w:rPr>
        <w:t>to</w:t>
      </w:r>
      <w:r w:rsidR="00CD42DA">
        <w:rPr>
          <w:rFonts w:ascii="Times New Roman" w:hAnsi="Times New Roman"/>
          <w:lang w:val="en-GB"/>
        </w:rPr>
        <w:t xml:space="preserve"> the</w:t>
      </w:r>
      <w:r w:rsidRPr="00890F7B">
        <w:rPr>
          <w:rFonts w:ascii="Times New Roman" w:hAnsi="Times New Roman"/>
          <w:lang w:val="en-GB"/>
        </w:rPr>
        <w:t xml:space="preserve"> account</w:t>
      </w:r>
      <w:r w:rsidR="00263F87" w:rsidRPr="00890F7B">
        <w:rPr>
          <w:rFonts w:ascii="Times New Roman" w:hAnsi="Times New Roman"/>
          <w:lang w:val="en-GB"/>
        </w:rPr>
        <w:t xml:space="preserve"> </w:t>
      </w:r>
      <w:r w:rsidR="00263F87" w:rsidRPr="00890F7B">
        <w:rPr>
          <w:rFonts w:ascii="Times New Roman" w:hAnsi="Times New Roman"/>
          <w:b/>
          <w:lang w:val="en-GB"/>
        </w:rPr>
        <w:t>840-742221843-57</w:t>
      </w:r>
      <w:r w:rsidR="00263F87" w:rsidRPr="00890F7B">
        <w:rPr>
          <w:rFonts w:ascii="Times New Roman" w:hAnsi="Times New Roman"/>
          <w:lang w:val="en-GB"/>
        </w:rPr>
        <w:t xml:space="preserve">. </w:t>
      </w:r>
      <w:r w:rsidR="00CD42DA">
        <w:rPr>
          <w:rFonts w:ascii="Times New Roman" w:hAnsi="Times New Roman"/>
          <w:lang w:val="en-GB"/>
        </w:rPr>
        <w:t>The r</w:t>
      </w:r>
      <w:r w:rsidRPr="00890F7B">
        <w:rPr>
          <w:rFonts w:ascii="Times New Roman" w:hAnsi="Times New Roman"/>
          <w:lang w:val="en-GB"/>
        </w:rPr>
        <w:t xml:space="preserve">eference number depends </w:t>
      </w:r>
      <w:r w:rsidR="00911C58">
        <w:rPr>
          <w:rFonts w:ascii="Times New Roman" w:hAnsi="Times New Roman"/>
          <w:lang w:val="en-GB"/>
        </w:rPr>
        <w:t>on</w:t>
      </w:r>
      <w:r w:rsidRPr="00890F7B">
        <w:rPr>
          <w:rFonts w:ascii="Times New Roman" w:hAnsi="Times New Roman"/>
          <w:lang w:val="en-GB"/>
        </w:rPr>
        <w:t xml:space="preserve"> the municipality </w:t>
      </w:r>
      <w:r w:rsidR="00CD42DA">
        <w:rPr>
          <w:rFonts w:ascii="Times New Roman" w:hAnsi="Times New Roman"/>
          <w:lang w:val="en-GB"/>
        </w:rPr>
        <w:t xml:space="preserve">where the </w:t>
      </w:r>
      <w:r w:rsidRPr="00890F7B">
        <w:rPr>
          <w:rFonts w:ascii="Times New Roman" w:hAnsi="Times New Roman"/>
          <w:lang w:val="en-GB"/>
        </w:rPr>
        <w:t>payment</w:t>
      </w:r>
      <w:r w:rsidR="00CD42DA">
        <w:rPr>
          <w:rFonts w:ascii="Times New Roman" w:hAnsi="Times New Roman"/>
          <w:lang w:val="en-GB"/>
        </w:rPr>
        <w:t xml:space="preserve"> is being made</w:t>
      </w:r>
      <w:r w:rsidRPr="00890F7B">
        <w:rPr>
          <w:rFonts w:ascii="Times New Roman" w:hAnsi="Times New Roman"/>
          <w:lang w:val="en-GB"/>
        </w:rPr>
        <w:t>.</w:t>
      </w:r>
    </w:p>
    <w:p w:rsidR="00263F87" w:rsidRPr="00890F7B" w:rsidRDefault="006F79A7" w:rsidP="00263F87">
      <w:pPr>
        <w:spacing w:after="0" w:line="360" w:lineRule="auto"/>
        <w:rPr>
          <w:rFonts w:ascii="Times New Roman" w:hAnsi="Times New Roman"/>
          <w:b/>
          <w:lang w:val="en-GB"/>
        </w:rPr>
      </w:pPr>
      <w:r w:rsidRPr="00890F7B">
        <w:rPr>
          <w:rFonts w:ascii="Times New Roman" w:hAnsi="Times New Roman"/>
          <w:b/>
          <w:lang w:val="en-GB"/>
        </w:rPr>
        <w:t>NOTE</w:t>
      </w:r>
      <w:r w:rsidR="00263F87" w:rsidRPr="00890F7B">
        <w:rPr>
          <w:rFonts w:ascii="Times New Roman" w:hAnsi="Times New Roman"/>
          <w:b/>
          <w:lang w:val="en-GB"/>
        </w:rPr>
        <w:t xml:space="preserve">: </w:t>
      </w:r>
    </w:p>
    <w:p w:rsidR="006F79A7" w:rsidRPr="00890F7B" w:rsidRDefault="00EA5B26" w:rsidP="00263F87">
      <w:pPr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Proof </w:t>
      </w:r>
      <w:r w:rsidR="006F79A7" w:rsidRPr="00890F7B">
        <w:rPr>
          <w:rFonts w:ascii="Times New Roman" w:hAnsi="Times New Roman"/>
          <w:lang w:val="en-GB"/>
        </w:rPr>
        <w:t xml:space="preserve">of payment of </w:t>
      </w:r>
      <w:r>
        <w:rPr>
          <w:rFonts w:ascii="Times New Roman" w:hAnsi="Times New Roman"/>
          <w:lang w:val="en-GB"/>
        </w:rPr>
        <w:t xml:space="preserve">the </w:t>
      </w:r>
      <w:r w:rsidR="006F79A7" w:rsidRPr="00890F7B">
        <w:rPr>
          <w:rFonts w:ascii="Times New Roman" w:hAnsi="Times New Roman"/>
          <w:lang w:val="en-GB"/>
        </w:rPr>
        <w:t>fee</w:t>
      </w:r>
      <w:r w:rsidR="00CD42DA">
        <w:rPr>
          <w:rFonts w:ascii="Times New Roman" w:hAnsi="Times New Roman"/>
          <w:lang w:val="en-GB"/>
        </w:rPr>
        <w:t>s</w:t>
      </w:r>
      <w:r w:rsidR="006F79A7" w:rsidRPr="00890F7B">
        <w:rPr>
          <w:rFonts w:ascii="Times New Roman" w:hAnsi="Times New Roman"/>
          <w:lang w:val="en-GB"/>
        </w:rPr>
        <w:t xml:space="preserve"> mu</w:t>
      </w:r>
      <w:r w:rsidR="004D0AF8" w:rsidRPr="00890F7B">
        <w:rPr>
          <w:rFonts w:ascii="Times New Roman" w:hAnsi="Times New Roman"/>
          <w:lang w:val="en-GB"/>
        </w:rPr>
        <w:t xml:space="preserve">st be submitted </w:t>
      </w:r>
      <w:r w:rsidRPr="00890F7B">
        <w:rPr>
          <w:rFonts w:ascii="Times New Roman" w:hAnsi="Times New Roman"/>
          <w:lang w:val="en-GB"/>
        </w:rPr>
        <w:t>in the original copy</w:t>
      </w:r>
      <w:r>
        <w:rPr>
          <w:rFonts w:ascii="Times New Roman" w:hAnsi="Times New Roman"/>
          <w:lang w:val="en-GB"/>
        </w:rPr>
        <w:t xml:space="preserve"> </w:t>
      </w:r>
      <w:r w:rsidR="004D0AF8" w:rsidRPr="00890F7B">
        <w:rPr>
          <w:rFonts w:ascii="Times New Roman" w:hAnsi="Times New Roman"/>
          <w:lang w:val="en-GB"/>
        </w:rPr>
        <w:t xml:space="preserve">along with the </w:t>
      </w:r>
      <w:r w:rsidR="00783208">
        <w:rPr>
          <w:rFonts w:ascii="Times New Roman" w:hAnsi="Times New Roman"/>
          <w:lang w:val="en-GB"/>
        </w:rPr>
        <w:t>a</w:t>
      </w:r>
      <w:r w:rsidR="00400AC4" w:rsidRPr="00890F7B">
        <w:rPr>
          <w:rFonts w:ascii="Times New Roman" w:hAnsi="Times New Roman"/>
          <w:lang w:val="en-GB"/>
        </w:rPr>
        <w:t>pplication</w:t>
      </w:r>
      <w:r w:rsidR="006F79A7" w:rsidRPr="00890F7B">
        <w:rPr>
          <w:rFonts w:ascii="Times New Roman" w:hAnsi="Times New Roman"/>
          <w:lang w:val="en-GB"/>
        </w:rPr>
        <w:t>.</w:t>
      </w:r>
    </w:p>
    <w:p w:rsidR="00B919AA" w:rsidRPr="00890F7B" w:rsidRDefault="00B919AA">
      <w:pPr>
        <w:rPr>
          <w:lang w:val="en-GB"/>
        </w:rPr>
      </w:pPr>
    </w:p>
    <w:sectPr w:rsidR="00B919AA" w:rsidRPr="00890F7B" w:rsidSect="00E75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C0" w:rsidRDefault="00166FC0">
      <w:pPr>
        <w:spacing w:after="0" w:line="240" w:lineRule="auto"/>
      </w:pPr>
      <w:r>
        <w:separator/>
      </w:r>
    </w:p>
  </w:endnote>
  <w:endnote w:type="continuationSeparator" w:id="0">
    <w:p w:rsidR="00166FC0" w:rsidRDefault="001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9" w:rsidRDefault="00463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9" w:rsidRDefault="00463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9" w:rsidRDefault="0046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C0" w:rsidRDefault="00166FC0">
      <w:pPr>
        <w:spacing w:after="0" w:line="240" w:lineRule="auto"/>
      </w:pPr>
      <w:r>
        <w:separator/>
      </w:r>
    </w:p>
  </w:footnote>
  <w:footnote w:type="continuationSeparator" w:id="0">
    <w:p w:rsidR="00166FC0" w:rsidRDefault="0016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9" w:rsidRDefault="00463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B5" w:rsidRPr="00D00DD9" w:rsidRDefault="00B209C8" w:rsidP="00E757B5">
    <w:pPr>
      <w:pStyle w:val="Header"/>
      <w:pBdr>
        <w:bottom w:val="single" w:sz="4" w:space="1" w:color="auto"/>
      </w:pBdr>
      <w:rPr>
        <w:rFonts w:ascii="Times New Roman" w:hAnsi="Times New Roman"/>
        <w:lang w:val="en-GB"/>
      </w:rPr>
    </w:pPr>
    <w:r w:rsidRPr="00D00DD9">
      <w:rPr>
        <w:rFonts w:ascii="Times New Roman" w:hAnsi="Times New Roman"/>
        <w:lang w:val="en-GB"/>
      </w:rPr>
      <w:t>Annex</w:t>
    </w:r>
    <w:r w:rsidR="00FC341F" w:rsidRPr="00D00DD9">
      <w:rPr>
        <w:rFonts w:ascii="Times New Roman" w:hAnsi="Times New Roman"/>
        <w:lang w:val="en-GB"/>
      </w:rPr>
      <w:t xml:space="preserve"> 1.</w:t>
    </w:r>
    <w:r w:rsidR="00263F87" w:rsidRPr="00D00DD9">
      <w:rPr>
        <w:rFonts w:ascii="Times New Roman" w:hAnsi="Times New Roman"/>
        <w:lang w:val="en-GB"/>
      </w:rPr>
      <w:t xml:space="preserve">11 – </w:t>
    </w:r>
    <w:r w:rsidRPr="00D00DD9">
      <w:rPr>
        <w:rFonts w:ascii="Times New Roman" w:hAnsi="Times New Roman"/>
        <w:lang w:val="en-GB"/>
      </w:rPr>
      <w:t xml:space="preserve">Instruction for </w:t>
    </w:r>
    <w:r w:rsidR="008945D6" w:rsidRPr="00D00DD9">
      <w:rPr>
        <w:rFonts w:ascii="Times New Roman" w:hAnsi="Times New Roman"/>
        <w:lang w:val="en-GB"/>
      </w:rPr>
      <w:t>p</w:t>
    </w:r>
    <w:r w:rsidRPr="00D00DD9">
      <w:rPr>
        <w:rFonts w:ascii="Times New Roman" w:hAnsi="Times New Roman"/>
        <w:lang w:val="en-GB"/>
      </w:rPr>
      <w:t xml:space="preserve">ayment of </w:t>
    </w:r>
    <w:r w:rsidR="008945D6" w:rsidRPr="00D00DD9">
      <w:rPr>
        <w:rFonts w:ascii="Times New Roman" w:hAnsi="Times New Roman"/>
        <w:lang w:val="en-GB"/>
      </w:rPr>
      <w:t>f</w:t>
    </w:r>
    <w:r w:rsidRPr="00D00DD9">
      <w:rPr>
        <w:rFonts w:ascii="Times New Roman" w:hAnsi="Times New Roman"/>
        <w:lang w:val="en-GB"/>
      </w:rPr>
      <w:t>e</w:t>
    </w:r>
    <w:r w:rsidR="00CD42DA">
      <w:rPr>
        <w:rFonts w:ascii="Times New Roman" w:hAnsi="Times New Roman"/>
        <w:lang w:val="en-GB"/>
      </w:rPr>
      <w:t>es</w:t>
    </w:r>
    <w:r w:rsidRPr="00D00DD9">
      <w:rPr>
        <w:rFonts w:ascii="Times New Roman" w:hAnsi="Times New Roman"/>
        <w:lang w:val="en-GB"/>
      </w:rPr>
      <w:t xml:space="preserve"> for</w:t>
    </w:r>
    <w:r w:rsidR="008945D6" w:rsidRPr="00D00DD9">
      <w:rPr>
        <w:rFonts w:ascii="Times New Roman" w:hAnsi="Times New Roman"/>
        <w:lang w:val="en-GB"/>
      </w:rPr>
      <w:t xml:space="preserve"> processing the application for</w:t>
    </w:r>
    <w:r w:rsidRPr="00D00DD9">
      <w:rPr>
        <w:rFonts w:ascii="Times New Roman" w:hAnsi="Times New Roman"/>
        <w:lang w:val="en-GB"/>
      </w:rPr>
      <w:t xml:space="preserve"> </w:t>
    </w:r>
    <w:r w:rsidR="008945D6" w:rsidRPr="00D00DD9">
      <w:rPr>
        <w:rFonts w:ascii="Times New Roman" w:hAnsi="Times New Roman"/>
        <w:lang w:val="en-GB"/>
      </w:rPr>
      <w:t>b</w:t>
    </w:r>
    <w:r w:rsidRPr="00D00DD9">
      <w:rPr>
        <w:rFonts w:ascii="Times New Roman" w:hAnsi="Times New Roman"/>
        <w:lang w:val="en-GB"/>
      </w:rPr>
      <w:t xml:space="preserve">ank </w:t>
    </w:r>
    <w:r w:rsidR="008945D6" w:rsidRPr="00D00DD9">
      <w:rPr>
        <w:rFonts w:ascii="Times New Roman" w:hAnsi="Times New Roman"/>
        <w:lang w:val="en-GB"/>
      </w:rPr>
      <w:t>o</w:t>
    </w:r>
    <w:r w:rsidRPr="00D00DD9">
      <w:rPr>
        <w:rFonts w:ascii="Times New Roman" w:hAnsi="Times New Roman"/>
        <w:lang w:val="en-GB"/>
      </w:rPr>
      <w:t xml:space="preserve">perating </w:t>
    </w:r>
    <w:r w:rsidR="008945D6" w:rsidRPr="00D00DD9">
      <w:rPr>
        <w:rFonts w:ascii="Times New Roman" w:hAnsi="Times New Roman"/>
        <w:lang w:val="en-GB"/>
      </w:rPr>
      <w:t>l</w:t>
    </w:r>
    <w:r w:rsidRPr="00D00DD9">
      <w:rPr>
        <w:rFonts w:ascii="Times New Roman" w:hAnsi="Times New Roman"/>
        <w:lang w:val="en-GB"/>
      </w:rPr>
      <w:t xml:space="preserve">icence </w:t>
    </w:r>
  </w:p>
  <w:p w:rsidR="00E757B5" w:rsidRPr="00D00DD9" w:rsidRDefault="00E757B5" w:rsidP="00E757B5">
    <w:pPr>
      <w:pStyle w:val="Header"/>
      <w:pBdr>
        <w:bottom w:val="single" w:sz="4" w:space="1" w:color="auto"/>
      </w:pBdr>
      <w:rPr>
        <w:rFonts w:ascii="Times New Roman" w:hAnsi="Times New Roman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9" w:rsidRDefault="00463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87"/>
    <w:rsid w:val="00032745"/>
    <w:rsid w:val="000B6231"/>
    <w:rsid w:val="001406D7"/>
    <w:rsid w:val="00166FC0"/>
    <w:rsid w:val="001C4EFE"/>
    <w:rsid w:val="00203552"/>
    <w:rsid w:val="00256110"/>
    <w:rsid w:val="00263F87"/>
    <w:rsid w:val="002E0B87"/>
    <w:rsid w:val="00315E19"/>
    <w:rsid w:val="00335931"/>
    <w:rsid w:val="00390CDA"/>
    <w:rsid w:val="00394350"/>
    <w:rsid w:val="00400AC4"/>
    <w:rsid w:val="00432A6C"/>
    <w:rsid w:val="00461DF3"/>
    <w:rsid w:val="00463CB9"/>
    <w:rsid w:val="004D0AF8"/>
    <w:rsid w:val="004F6DCE"/>
    <w:rsid w:val="0051405D"/>
    <w:rsid w:val="005302A8"/>
    <w:rsid w:val="00543763"/>
    <w:rsid w:val="00544969"/>
    <w:rsid w:val="005F7576"/>
    <w:rsid w:val="006447CC"/>
    <w:rsid w:val="00651B11"/>
    <w:rsid w:val="006626E4"/>
    <w:rsid w:val="006A13D9"/>
    <w:rsid w:val="006F79A7"/>
    <w:rsid w:val="006F7C34"/>
    <w:rsid w:val="00754DFB"/>
    <w:rsid w:val="00783208"/>
    <w:rsid w:val="007C4871"/>
    <w:rsid w:val="00836347"/>
    <w:rsid w:val="00890F7B"/>
    <w:rsid w:val="008945D6"/>
    <w:rsid w:val="0090139E"/>
    <w:rsid w:val="00907117"/>
    <w:rsid w:val="00911C58"/>
    <w:rsid w:val="009467E4"/>
    <w:rsid w:val="009E4DA0"/>
    <w:rsid w:val="00A654AC"/>
    <w:rsid w:val="00A717BC"/>
    <w:rsid w:val="00AC6729"/>
    <w:rsid w:val="00B209C8"/>
    <w:rsid w:val="00B919AA"/>
    <w:rsid w:val="00BA3210"/>
    <w:rsid w:val="00BC237B"/>
    <w:rsid w:val="00C26BA8"/>
    <w:rsid w:val="00CB54C4"/>
    <w:rsid w:val="00CD42DA"/>
    <w:rsid w:val="00CE5DC2"/>
    <w:rsid w:val="00CF4546"/>
    <w:rsid w:val="00D00DD9"/>
    <w:rsid w:val="00D107DA"/>
    <w:rsid w:val="00D44885"/>
    <w:rsid w:val="00D67181"/>
    <w:rsid w:val="00DD5589"/>
    <w:rsid w:val="00DE6EC6"/>
    <w:rsid w:val="00DF4532"/>
    <w:rsid w:val="00E757B5"/>
    <w:rsid w:val="00EA5B26"/>
    <w:rsid w:val="00F7423B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63F8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6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3F87"/>
    <w:rPr>
      <w:lang w:val="sr-Cyrl-RS"/>
    </w:rPr>
  </w:style>
  <w:style w:type="table" w:styleId="TableGrid">
    <w:name w:val="Table Grid"/>
    <w:basedOn w:val="TableNormal"/>
    <w:uiPriority w:val="59"/>
    <w:rsid w:val="00263F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DF3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2F8C-B225-4D37-B7AB-DB53A047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1327</Characters>
  <Application>Microsoft Office Word</Application>
  <DocSecurity>0</DocSecurity>
  <Lines>35</Lines>
  <Paragraphs>27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2019-11-27T16:03:00Z</dcterms:created>
  <dcterms:modified xsi:type="dcterms:W3CDTF">2019-11-27T16:03:00Z</dcterms:modified>
  <cp:category/>
</cp:coreProperties>
</file>