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FAC7" w14:textId="77777777" w:rsidR="00EA2E43" w:rsidRPr="00545268" w:rsidRDefault="00B2706A" w:rsidP="00DF00F1">
      <w:pPr>
        <w:widowControl w:val="0"/>
        <w:spacing w:after="0" w:line="240" w:lineRule="auto"/>
        <w:jc w:val="right"/>
        <w:rPr>
          <w:rFonts w:ascii="Arial" w:hAnsi="Arial" w:cs="Arial"/>
          <w:b/>
          <w:color w:val="1A1617"/>
          <w:sz w:val="28"/>
          <w:szCs w:val="28"/>
          <w:lang w:val="en-US"/>
        </w:rPr>
      </w:pPr>
      <w:r w:rsidRPr="00545268">
        <w:rPr>
          <w:rFonts w:ascii="Arial" w:hAnsi="Arial" w:cs="Arial"/>
          <w:b/>
          <w:color w:val="1A1617"/>
          <w:sz w:val="28"/>
          <w:szCs w:val="28"/>
        </w:rPr>
        <w:t>Прилог</w:t>
      </w:r>
      <w:r w:rsidR="00EA2E43" w:rsidRPr="00545268">
        <w:rPr>
          <w:rFonts w:ascii="Arial" w:hAnsi="Arial" w:cs="Arial"/>
          <w:b/>
          <w:color w:val="1A1617"/>
          <w:sz w:val="28"/>
          <w:szCs w:val="28"/>
        </w:rPr>
        <w:t xml:space="preserve"> 1</w:t>
      </w:r>
    </w:p>
    <w:p w14:paraId="353186A4" w14:textId="77777777" w:rsidR="002B51E2" w:rsidRPr="00545268" w:rsidRDefault="002B51E2" w:rsidP="00DF00F1">
      <w:pPr>
        <w:widowControl w:val="0"/>
        <w:spacing w:after="0" w:line="240" w:lineRule="auto"/>
        <w:jc w:val="right"/>
        <w:rPr>
          <w:rFonts w:ascii="Arial" w:hAnsi="Arial" w:cs="Arial"/>
          <w:b/>
          <w:color w:val="1A1617"/>
          <w:sz w:val="28"/>
          <w:szCs w:val="28"/>
          <w:lang w:val="en-US"/>
        </w:rPr>
      </w:pPr>
    </w:p>
    <w:p w14:paraId="2B13CFC4" w14:textId="30FCFCF9" w:rsidR="00DA53DF" w:rsidRPr="00545268" w:rsidRDefault="00F00913" w:rsidP="00DF00F1">
      <w:pPr>
        <w:widowControl w:val="0"/>
        <w:spacing w:after="0" w:line="240" w:lineRule="auto"/>
        <w:jc w:val="center"/>
        <w:rPr>
          <w:rFonts w:ascii="Arial" w:hAnsi="Arial" w:cs="Arial"/>
          <w:b/>
          <w:color w:val="1A1617"/>
          <w:sz w:val="28"/>
          <w:szCs w:val="28"/>
        </w:rPr>
      </w:pPr>
      <w:r w:rsidRPr="00545268">
        <w:rPr>
          <w:rFonts w:ascii="Arial" w:hAnsi="Arial" w:cs="Arial"/>
          <w:b/>
          <w:color w:val="1A1617"/>
          <w:sz w:val="28"/>
          <w:szCs w:val="28"/>
        </w:rPr>
        <w:t xml:space="preserve">МЕТОДОЛОГИЈА ЗА ОБРАЧУН </w:t>
      </w:r>
      <w:r w:rsidR="00DA53DF" w:rsidRPr="00DA53DF">
        <w:rPr>
          <w:rFonts w:ascii="Arial" w:hAnsi="Arial" w:cs="Arial"/>
          <w:b/>
          <w:color w:val="1A1617"/>
          <w:sz w:val="28"/>
          <w:szCs w:val="28"/>
        </w:rPr>
        <w:t xml:space="preserve">РЕДОВНИХ </w:t>
      </w:r>
      <w:r w:rsidRPr="00545268">
        <w:rPr>
          <w:rFonts w:ascii="Arial" w:hAnsi="Arial" w:cs="Arial"/>
          <w:b/>
          <w:color w:val="1A1617"/>
          <w:sz w:val="28"/>
          <w:szCs w:val="28"/>
        </w:rPr>
        <w:t>ГОДИШЊИХ</w:t>
      </w:r>
      <w:r w:rsidR="00D453EF" w:rsidRPr="00545268">
        <w:rPr>
          <w:rFonts w:ascii="Arial" w:hAnsi="Arial" w:cs="Arial"/>
          <w:b/>
          <w:color w:val="1A1617"/>
          <w:sz w:val="28"/>
          <w:szCs w:val="28"/>
        </w:rPr>
        <w:t xml:space="preserve"> </w:t>
      </w:r>
      <w:r w:rsidRPr="00545268">
        <w:rPr>
          <w:rFonts w:ascii="Arial" w:hAnsi="Arial" w:cs="Arial"/>
          <w:b/>
          <w:color w:val="1A1617"/>
          <w:sz w:val="28"/>
          <w:szCs w:val="28"/>
        </w:rPr>
        <w:t>ДОПРИНОСА</w:t>
      </w:r>
      <w:r w:rsidR="00D453EF" w:rsidRPr="00545268">
        <w:rPr>
          <w:rFonts w:ascii="Arial" w:hAnsi="Arial" w:cs="Arial"/>
          <w:b/>
          <w:color w:val="1A1617"/>
          <w:sz w:val="28"/>
          <w:szCs w:val="28"/>
        </w:rPr>
        <w:t xml:space="preserve"> БАНАКА</w:t>
      </w:r>
      <w:r w:rsidR="00DA53DF">
        <w:rPr>
          <w:rFonts w:ascii="Arial" w:hAnsi="Arial" w:cs="Arial"/>
          <w:b/>
          <w:color w:val="1A1617"/>
          <w:sz w:val="28"/>
          <w:szCs w:val="28"/>
        </w:rPr>
        <w:t xml:space="preserve"> У ФОНД ЗА РЕСТРУКТУРИРАЊЕ БАНАКА </w:t>
      </w:r>
    </w:p>
    <w:p w14:paraId="48070C95" w14:textId="32164F92" w:rsidR="00D453EF" w:rsidRPr="00DF00F1" w:rsidRDefault="00D453EF" w:rsidP="00DF00F1">
      <w:pPr>
        <w:widowControl w:val="0"/>
        <w:spacing w:after="0" w:line="240" w:lineRule="auto"/>
        <w:jc w:val="center"/>
        <w:rPr>
          <w:rFonts w:ascii="Arial" w:hAnsi="Arial" w:cs="Arial"/>
          <w:b/>
          <w:color w:val="1A1617"/>
          <w:sz w:val="20"/>
          <w:szCs w:val="20"/>
        </w:rPr>
      </w:pPr>
    </w:p>
    <w:p w14:paraId="517A8326" w14:textId="77777777" w:rsidR="00E15CE1" w:rsidRPr="00DF00F1" w:rsidRDefault="00E15CE1" w:rsidP="00DF00F1">
      <w:pPr>
        <w:widowControl w:val="0"/>
        <w:spacing w:after="0" w:line="240" w:lineRule="auto"/>
        <w:jc w:val="both"/>
        <w:rPr>
          <w:rFonts w:ascii="Arial" w:hAnsi="Arial" w:cs="Arial"/>
          <w:color w:val="1A1617"/>
          <w:sz w:val="20"/>
          <w:szCs w:val="20"/>
          <w:lang w:val="en-US"/>
        </w:rPr>
      </w:pPr>
    </w:p>
    <w:p w14:paraId="64062C88" w14:textId="77777777" w:rsidR="00D1105F" w:rsidRPr="00545268" w:rsidRDefault="00C23FA7" w:rsidP="00DF00F1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hAnsi="Arial" w:cs="Arial"/>
          <w:b/>
          <w:color w:val="1A1617"/>
          <w:sz w:val="28"/>
          <w:szCs w:val="28"/>
        </w:rPr>
      </w:pPr>
      <w:r w:rsidRPr="00545268">
        <w:rPr>
          <w:rFonts w:ascii="Arial" w:hAnsi="Arial" w:cs="Arial"/>
          <w:b/>
          <w:color w:val="1A1617"/>
          <w:sz w:val="28"/>
          <w:szCs w:val="28"/>
        </w:rPr>
        <w:t>Обрачун основних показатеља</w:t>
      </w:r>
    </w:p>
    <w:p w14:paraId="5BE7548A" w14:textId="77777777" w:rsidR="00C23FA7" w:rsidRPr="00DF00F1" w:rsidRDefault="00C23FA7" w:rsidP="00DF00F1">
      <w:pPr>
        <w:widowControl w:val="0"/>
        <w:spacing w:after="0" w:line="240" w:lineRule="auto"/>
        <w:jc w:val="both"/>
        <w:rPr>
          <w:rFonts w:ascii="Arial" w:hAnsi="Arial" w:cs="Arial"/>
          <w:b/>
          <w:color w:val="1A1617"/>
          <w:sz w:val="20"/>
          <w:szCs w:val="20"/>
        </w:rPr>
      </w:pPr>
    </w:p>
    <w:p w14:paraId="54A32AFE" w14:textId="5C2D130A" w:rsidR="00E15CE1" w:rsidRPr="00545268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>
        <w:rPr>
          <w:rFonts w:ascii="Arial" w:hAnsi="Arial" w:cs="Arial"/>
          <w:bCs/>
          <w:color w:val="1A1617"/>
          <w:sz w:val="28"/>
          <w:szCs w:val="28"/>
        </w:rPr>
        <w:t>1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CD066D">
        <w:rPr>
          <w:rFonts w:ascii="Arial" w:hAnsi="Arial" w:cs="Arial"/>
          <w:bCs/>
          <w:color w:val="1A1617"/>
          <w:sz w:val="28"/>
          <w:szCs w:val="28"/>
        </w:rPr>
        <w:t>Основни и</w:t>
      </w:r>
      <w:r w:rsidR="00C23FA7" w:rsidRPr="00545268">
        <w:rPr>
          <w:rFonts w:ascii="Arial" w:hAnsi="Arial" w:cs="Arial"/>
          <w:bCs/>
          <w:color w:val="1A1617"/>
          <w:sz w:val="28"/>
          <w:szCs w:val="28"/>
        </w:rPr>
        <w:t>ндикатор</w:t>
      </w:r>
      <w:r w:rsidR="003609DC">
        <w:rPr>
          <w:rFonts w:ascii="Arial" w:hAnsi="Arial" w:cs="Arial"/>
          <w:bCs/>
          <w:color w:val="1A1617"/>
          <w:sz w:val="28"/>
          <w:szCs w:val="28"/>
        </w:rPr>
        <w:t>и</w:t>
      </w:r>
      <w:r w:rsidR="00C23FA7" w:rsidRPr="00545268">
        <w:rPr>
          <w:rFonts w:ascii="Arial" w:hAnsi="Arial" w:cs="Arial"/>
          <w:bCs/>
          <w:color w:val="1A1617"/>
          <w:sz w:val="28"/>
          <w:szCs w:val="28"/>
        </w:rPr>
        <w:t xml:space="preserve"> ризика </w:t>
      </w:r>
      <w:r w:rsidR="003609DC">
        <w:rPr>
          <w:rFonts w:ascii="Arial" w:hAnsi="Arial" w:cs="Arial"/>
          <w:bCs/>
          <w:color w:val="1A1617"/>
          <w:sz w:val="28"/>
          <w:szCs w:val="28"/>
        </w:rPr>
        <w:t xml:space="preserve">обрачунавају се у складу са </w:t>
      </w:r>
      <w:r w:rsidR="00C23FA7" w:rsidRPr="00545268">
        <w:rPr>
          <w:rFonts w:ascii="Arial" w:hAnsi="Arial" w:cs="Arial"/>
          <w:bCs/>
          <w:color w:val="1A1617"/>
          <w:sz w:val="28"/>
          <w:szCs w:val="28"/>
        </w:rPr>
        <w:t>следећи</w:t>
      </w:r>
      <w:r w:rsidR="003609DC">
        <w:rPr>
          <w:rFonts w:ascii="Arial" w:hAnsi="Arial" w:cs="Arial"/>
          <w:bCs/>
          <w:color w:val="1A1617"/>
          <w:sz w:val="28"/>
          <w:szCs w:val="28"/>
        </w:rPr>
        <w:t>м</w:t>
      </w:r>
      <w:r w:rsidR="00C23FA7" w:rsidRPr="00545268">
        <w:rPr>
          <w:rFonts w:ascii="Arial" w:hAnsi="Arial" w:cs="Arial"/>
          <w:bCs/>
          <w:color w:val="1A1617"/>
          <w:sz w:val="28"/>
          <w:szCs w:val="28"/>
        </w:rPr>
        <w:t>:</w:t>
      </w:r>
    </w:p>
    <w:p w14:paraId="12B52B97" w14:textId="77777777" w:rsidR="00EA5B1F" w:rsidRPr="00545268" w:rsidRDefault="00E15CE1" w:rsidP="00DF00F1">
      <w:pPr>
        <w:widowControl w:val="0"/>
        <w:spacing w:after="0" w:line="240" w:lineRule="auto"/>
        <w:jc w:val="both"/>
        <w:rPr>
          <w:rFonts w:ascii="Arial" w:hAnsi="Arial" w:cs="Arial"/>
          <w:color w:val="1A1617"/>
          <w:sz w:val="28"/>
          <w:szCs w:val="28"/>
          <w:lang w:val="sr-Latn-RS"/>
        </w:rPr>
      </w:pPr>
      <w:r w:rsidRPr="00814F25">
        <w:rPr>
          <w:rFonts w:ascii="Arial" w:hAnsi="Arial" w:cs="Arial"/>
          <w:color w:val="1A1617"/>
          <w:sz w:val="28"/>
          <w:szCs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409"/>
        <w:gridCol w:w="5216"/>
      </w:tblGrid>
      <w:tr w:rsidR="00EA5B1F" w:rsidRPr="004A35C2" w14:paraId="66B719CA" w14:textId="77777777" w:rsidTr="00DF00F1"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6071D" w14:textId="77777777" w:rsidR="00EA5B1F" w:rsidRPr="004A35C2" w:rsidRDefault="00F00913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  <w:t>Категорија ризика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BB369" w14:textId="77777777" w:rsidR="00EA5B1F" w:rsidRPr="004A35C2" w:rsidRDefault="00F00913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  <w:t>Индикатор ризика</w:t>
            </w:r>
          </w:p>
        </w:tc>
        <w:tc>
          <w:tcPr>
            <w:tcW w:w="5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E8EBF" w14:textId="77777777" w:rsidR="00EA5B1F" w:rsidRPr="004A35C2" w:rsidRDefault="00471C07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highlight w:val="yellow"/>
                <w:lang w:val="sr-Cyrl-CS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  <w:t>Обрачун индикатора</w:t>
            </w:r>
          </w:p>
        </w:tc>
      </w:tr>
      <w:tr w:rsidR="00F451FE" w:rsidRPr="001768DC" w14:paraId="39055052" w14:textId="77777777" w:rsidTr="00DF00F1">
        <w:tc>
          <w:tcPr>
            <w:tcW w:w="2122" w:type="dxa"/>
            <w:vMerge w:val="restart"/>
            <w:shd w:val="clear" w:color="auto" w:fill="auto"/>
            <w:vAlign w:val="center"/>
          </w:tcPr>
          <w:p w14:paraId="19654383" w14:textId="77777777" w:rsidR="00F451FE" w:rsidRPr="004A35C2" w:rsidRDefault="00F451FE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Изложеност ризику</w:t>
            </w:r>
          </w:p>
          <w:p w14:paraId="5CDBA5FF" w14:textId="77777777" w:rsidR="00F451FE" w:rsidRPr="004A35C2" w:rsidRDefault="00F451FE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17C0452" w14:textId="2ABB9B20" w:rsidR="00F451FE" w:rsidRPr="004A35C2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в</w:t>
            </w: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ишак </w:t>
            </w:r>
            <w:r w:rsidR="00F451FE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средстава изнад </w:t>
            </w:r>
            <w:r w:rsidR="00C23FA7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МКО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7C27F82" w14:textId="3875274A" w:rsidR="00C23FA7" w:rsidRPr="00814F25" w:rsidRDefault="00A5231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(</w:t>
            </w:r>
            <w:r w:rsidR="00C23FA7"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капитал + подобне обавезе</w:t>
            </w:r>
            <w:r w:rsidR="0072393C"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  <w:r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Latn-RS"/>
              </w:rPr>
              <w:t>–</w:t>
            </w:r>
            <w:r w:rsidR="00A37E80"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Latn-RS"/>
              </w:rPr>
              <w:t xml:space="preserve"> </w:t>
            </w:r>
            <w:r w:rsidR="00A37E80"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МКО</w:t>
            </w:r>
            <w:r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)</w:t>
            </w:r>
            <w:r w:rsidR="006235F3" w:rsidRPr="00814F25" w:rsidDel="006235F3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  <w:r w:rsidR="006235F3"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/ </w:t>
            </w:r>
            <w:r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(у</w:t>
            </w:r>
            <w:r w:rsidR="00C23FA7"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купне обавезе + капитал</w:t>
            </w:r>
            <w:r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)</w:t>
            </w:r>
          </w:p>
          <w:p w14:paraId="03499153" w14:textId="22AF3A88" w:rsidR="00471C07" w:rsidRPr="001768DC" w:rsidRDefault="009D61DB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К</w:t>
            </w:r>
            <w:r w:rsidR="00471C07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апитал </w:t>
            </w:r>
            <w:r w:rsidR="006235F3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>утврђен у складу са о</w:t>
            </w:r>
            <w:r w:rsidR="00471C07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>длук</w:t>
            </w:r>
            <w:r w:rsidR="006235F3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>ом</w:t>
            </w:r>
            <w:r w:rsidR="00471C07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 w:rsidR="006235F3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којом се уређује </w:t>
            </w:r>
            <w:r w:rsidR="00471C07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>адекватност капитала</w:t>
            </w:r>
          </w:p>
          <w:p w14:paraId="4398D308" w14:textId="05C45F76" w:rsidR="00471C07" w:rsidRPr="001768DC" w:rsidRDefault="00471C07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>Подобне обавезе</w:t>
            </w:r>
            <w:r w:rsidR="006235F3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утврђене у складу са</w:t>
            </w:r>
            <w:r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 w:rsidR="00A977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чланом 128њ став 3. Закона о банкама </w:t>
            </w:r>
          </w:p>
          <w:p w14:paraId="58E4B47E" w14:textId="221395DE" w:rsidR="006235F3" w:rsidRPr="001768DC" w:rsidRDefault="006235F3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МКО је минимални захтев за капиталом и подобним обавезама у апсолутном износу </w:t>
            </w:r>
            <w:r w:rsidR="00F47AC3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утврђен </w:t>
            </w:r>
            <w:r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>у складу са</w:t>
            </w:r>
            <w:r w:rsidR="00136069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>одлуком којом се уређује минимални захтев за капиталом и подобним обавезама</w:t>
            </w:r>
          </w:p>
          <w:p w14:paraId="7A7A185B" w14:textId="1E5A2064" w:rsidR="00C23FA7" w:rsidRPr="001768DC" w:rsidRDefault="00471C07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Обавезе по основу деривата укључују </w:t>
            </w:r>
            <w:r w:rsidR="006235F3"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се </w:t>
            </w:r>
            <w:r w:rsidRPr="001768DC">
              <w:rPr>
                <w:rFonts w:ascii="Arial" w:eastAsia="Times New Roman" w:hAnsi="Arial" w:cs="Arial"/>
                <w:noProof/>
                <w:sz w:val="24"/>
                <w:szCs w:val="24"/>
              </w:rPr>
              <w:t>у укупне обавезе на основу пуног признавања нетирања друге уговорне стране</w:t>
            </w:r>
          </w:p>
        </w:tc>
      </w:tr>
      <w:tr w:rsidR="00F451FE" w:rsidRPr="004A35C2" w14:paraId="5D2F550F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1BE73DF9" w14:textId="77777777" w:rsidR="00F451FE" w:rsidRPr="004A35C2" w:rsidRDefault="00F451FE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1412751" w14:textId="7310B629" w:rsidR="00F451FE" w:rsidRPr="004A35C2" w:rsidRDefault="00471C07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  <w:r w:rsid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л</w:t>
            </w:r>
            <w:r w:rsidR="00F451FE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евериџ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2DD41BA" w14:textId="42F4D4CF" w:rsidR="00221FB4" w:rsidRPr="004A35C2" w:rsidRDefault="00471C07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Показатељ степена задужености </w:t>
            </w:r>
            <w:r w:rsidR="00C83689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утврђен 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у складу са </w:t>
            </w:r>
            <w:r w:rsidR="003609DC" w:rsidRPr="00F31365">
              <w:rPr>
                <w:rFonts w:ascii="Arial" w:eastAsia="Times New Roman" w:hAnsi="Arial" w:cs="Arial"/>
                <w:noProof/>
                <w:sz w:val="24"/>
                <w:szCs w:val="24"/>
              </w:rPr>
              <w:t>одлуком којом се уређује</w:t>
            </w:r>
            <w:r w:rsidR="005801A3" w:rsidRPr="00F31365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 w:rsidR="0089516A">
              <w:rPr>
                <w:rFonts w:ascii="Arial" w:eastAsia="Times New Roman" w:hAnsi="Arial" w:cs="Arial"/>
                <w:noProof/>
                <w:sz w:val="24"/>
                <w:szCs w:val="24"/>
              </w:rPr>
              <w:t>адекватност капитала</w:t>
            </w:r>
          </w:p>
        </w:tc>
      </w:tr>
      <w:tr w:rsidR="00471C07" w:rsidRPr="004A35C2" w14:paraId="2117C5CA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7BDF0E24" w14:textId="77777777" w:rsidR="00471C07" w:rsidRPr="004A35C2" w:rsidRDefault="00471C07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72E7849" w14:textId="10C0374C" w:rsidR="00471C07" w:rsidRPr="004A35C2" w:rsidRDefault="00C83689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  <w:t>CET1</w:t>
            </w:r>
            <w:r w:rsidR="00F47AC3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п</w:t>
            </w:r>
            <w:r w:rsidR="00471C07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оказатељ 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211D4A7" w14:textId="734F3E1B" w:rsidR="00221FB4" w:rsidRPr="004A35C2" w:rsidRDefault="00471C07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Показатељ адекватности основног акцијског капитала</w:t>
            </w:r>
            <w:r w:rsidR="00C83689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утврђен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>у складу са одлуком којом се уређује адекватност капитала</w:t>
            </w:r>
          </w:p>
        </w:tc>
      </w:tr>
      <w:tr w:rsidR="00471C07" w:rsidRPr="004A35C2" w14:paraId="6ADED1B7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280B95EC" w14:textId="77777777" w:rsidR="00471C07" w:rsidRPr="004A35C2" w:rsidRDefault="00471C07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F8359C5" w14:textId="5DC0EFC5" w:rsidR="00471C07" w:rsidRPr="004A35C2" w:rsidRDefault="00CF061B" w:rsidP="00DF00F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Latn-RS"/>
              </w:rPr>
              <w:t>TRE /</w:t>
            </w:r>
            <w:r w:rsidR="0072393C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  <w:r w:rsid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</w:t>
            </w:r>
            <w:r w:rsidR="0072393C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купн</w:t>
            </w: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а</w:t>
            </w:r>
            <w:r w:rsidR="0072393C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актив</w:t>
            </w: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а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56D3D8B" w14:textId="11B54BAE" w:rsidR="00471C07" w:rsidRPr="004A35C2" w:rsidRDefault="00A977DC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Ризична актива </w:t>
            </w:r>
            <w:r w:rsidR="00CF061B">
              <w:rPr>
                <w:rFonts w:ascii="Arial" w:eastAsia="Times New Roman" w:hAnsi="Arial" w:cs="Arial"/>
                <w:noProof/>
                <w:sz w:val="24"/>
                <w:szCs w:val="24"/>
              </w:rPr>
              <w:t>утврђена у складу са о</w:t>
            </w:r>
            <w:r w:rsidR="00CF061B"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длук</w:t>
            </w:r>
            <w:r w:rsidR="00CF061B">
              <w:rPr>
                <w:rFonts w:ascii="Arial" w:eastAsia="Times New Roman" w:hAnsi="Arial" w:cs="Arial"/>
                <w:noProof/>
                <w:sz w:val="24"/>
                <w:szCs w:val="24"/>
              </w:rPr>
              <w:t>ом</w:t>
            </w:r>
            <w:r w:rsidR="00CF061B"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 w:rsidR="00CF061B">
              <w:rPr>
                <w:rFonts w:ascii="Arial" w:eastAsia="Times New Roman" w:hAnsi="Arial" w:cs="Arial"/>
                <w:noProof/>
                <w:sz w:val="24"/>
                <w:szCs w:val="24"/>
              </w:rPr>
              <w:t>којом с</w:t>
            </w:r>
            <w:r w:rsidR="00CF061B"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е </w:t>
            </w:r>
            <w:r w:rsidR="00CF061B">
              <w:rPr>
                <w:rFonts w:ascii="Arial" w:eastAsia="Times New Roman" w:hAnsi="Arial" w:cs="Arial"/>
                <w:noProof/>
                <w:sz w:val="24"/>
                <w:szCs w:val="24"/>
              </w:rPr>
              <w:t>уређује</w:t>
            </w:r>
            <w:r w:rsidR="00CF061B"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адекватност капитала </w:t>
            </w:r>
            <w:r w:rsidR="00997052"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/ Укупна билансна актива </w:t>
            </w:r>
            <w:r w:rsidR="004C1025">
              <w:rPr>
                <w:rFonts w:ascii="Arial" w:eastAsia="Times New Roman" w:hAnsi="Arial" w:cs="Arial"/>
                <w:noProof/>
                <w:sz w:val="24"/>
                <w:szCs w:val="24"/>
              </w:rPr>
              <w:t>из биланса стања</w:t>
            </w:r>
          </w:p>
        </w:tc>
      </w:tr>
      <w:tr w:rsidR="0072393C" w:rsidRPr="004A35C2" w14:paraId="754EFA0D" w14:textId="77777777" w:rsidTr="00DF00F1">
        <w:tc>
          <w:tcPr>
            <w:tcW w:w="2122" w:type="dxa"/>
            <w:vMerge w:val="restart"/>
            <w:shd w:val="clear" w:color="auto" w:fill="auto"/>
            <w:vAlign w:val="center"/>
          </w:tcPr>
          <w:p w14:paraId="0120399E" w14:textId="77777777" w:rsidR="0072393C" w:rsidRPr="004A35C2" w:rsidRDefault="0072393C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  <w:t>Стабилност извора финансирања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4F17AC" w14:textId="0BF4780B" w:rsidR="0072393C" w:rsidRPr="004A35C2" w:rsidRDefault="0072393C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  <w:t>NSFR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BCD1297" w14:textId="478B21E6" w:rsidR="0072393C" w:rsidRPr="004A35C2" w:rsidRDefault="00A5231D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</w:pP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Показатељ нето стабилних извора финансирања</w:t>
            </w:r>
            <w:r w:rsidR="00C83689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утврђен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>у складу са о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длук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>ом кој</w:t>
            </w:r>
            <w:r w:rsidR="00FD1054">
              <w:rPr>
                <w:rFonts w:ascii="Arial" w:eastAsia="Times New Roman" w:hAnsi="Arial" w:cs="Arial"/>
                <w:noProof/>
                <w:sz w:val="24"/>
                <w:szCs w:val="24"/>
              </w:rPr>
              <w:t>о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м се уређује 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управљањ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>е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ризиком ликвидности банке</w:t>
            </w:r>
          </w:p>
        </w:tc>
      </w:tr>
      <w:tr w:rsidR="0072393C" w:rsidRPr="004A35C2" w14:paraId="277F52F9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71DBC4B3" w14:textId="77777777" w:rsidR="0072393C" w:rsidRPr="004A35C2" w:rsidRDefault="0072393C" w:rsidP="00DF00F1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715EA29" w14:textId="7640B638" w:rsidR="0072393C" w:rsidRPr="004A35C2" w:rsidRDefault="0072393C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="00C83689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  <w:t>LCR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2C62B7E" w14:textId="16973BF7" w:rsidR="0072393C" w:rsidRPr="004A35C2" w:rsidRDefault="00F61DB4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</w:pP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Показатељ покрића ликвидном активом</w:t>
            </w:r>
            <w:r w:rsidR="00C83689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утврђен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>у складу са о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длук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>ом којом се уређује</w:t>
            </w:r>
            <w:r w:rsidR="00A5231D"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управљањ</w:t>
            </w:r>
            <w:r w:rsidR="003609DC">
              <w:rPr>
                <w:rFonts w:ascii="Arial" w:eastAsia="Times New Roman" w:hAnsi="Arial" w:cs="Arial"/>
                <w:noProof/>
                <w:sz w:val="24"/>
                <w:szCs w:val="24"/>
              </w:rPr>
              <w:t>е</w:t>
            </w:r>
            <w:r w:rsidR="00A5231D"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ризиком ликвидности банке </w:t>
            </w:r>
          </w:p>
        </w:tc>
      </w:tr>
      <w:tr w:rsidR="00814F25" w:rsidRPr="004A35C2" w14:paraId="6EA64E3C" w14:textId="77777777" w:rsidTr="00DF00F1">
        <w:tc>
          <w:tcPr>
            <w:tcW w:w="2122" w:type="dxa"/>
            <w:shd w:val="clear" w:color="auto" w:fill="auto"/>
            <w:vAlign w:val="center"/>
          </w:tcPr>
          <w:p w14:paraId="7881AB2B" w14:textId="19B3DC79" w:rsidR="00814F25" w:rsidRPr="004A35C2" w:rsidRDefault="00814F25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</w:pPr>
            <w:r w:rsidRPr="0035251B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Значај банке за стабилност финансијског система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908403" w14:textId="35DDF123" w:rsidR="00814F25" w:rsidRPr="00814F25" w:rsidRDefault="00814F25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Cyrl-CS"/>
              </w:rPr>
            </w:pPr>
            <w:r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</w:t>
            </w:r>
            <w:r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Latn-RS"/>
              </w:rPr>
              <w:t>чешће банке у међубанкарским кредитима и депозитима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0253670" w14:textId="658F6BBA" w:rsidR="00814F25" w:rsidRPr="004A35C2" w:rsidRDefault="00814F25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814F25">
              <w:rPr>
                <w:rFonts w:ascii="Arial" w:eastAsia="Times New Roman" w:hAnsi="Arial" w:cs="Arial"/>
                <w:noProof/>
                <w:sz w:val="24"/>
                <w:szCs w:val="24"/>
                <w:lang w:val="sr-Latn-RS"/>
              </w:rPr>
              <w:t>Учешће банке у међубанкарским кредитима и депозитима</w:t>
            </w:r>
            <w:r w:rsidRPr="00814F25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свих банака</w:t>
            </w:r>
            <w:r w:rsidRPr="00814F25">
              <w:rPr>
                <w:rFonts w:ascii="Arial" w:eastAsia="Times New Roman" w:hAnsi="Arial" w:cs="Arial"/>
                <w:noProof/>
                <w:sz w:val="24"/>
                <w:szCs w:val="24"/>
                <w:lang w:val="sr-Latn-RS"/>
              </w:rPr>
              <w:t xml:space="preserve"> у Републици Србији</w:t>
            </w:r>
          </w:p>
        </w:tc>
      </w:tr>
      <w:tr w:rsidR="00F26A50" w:rsidRPr="004A35C2" w14:paraId="5CA7E579" w14:textId="77777777" w:rsidTr="00DF00F1">
        <w:tc>
          <w:tcPr>
            <w:tcW w:w="2122" w:type="dxa"/>
            <w:vMerge w:val="restart"/>
            <w:shd w:val="clear" w:color="auto" w:fill="auto"/>
            <w:vAlign w:val="center"/>
          </w:tcPr>
          <w:p w14:paraId="6F9A2920" w14:textId="77777777" w:rsidR="00F26A50" w:rsidRPr="004A35C2" w:rsidRDefault="00F26A50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lastRenderedPageBreak/>
              <w:t>Додатни индикатори ризика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8A9CA" w14:textId="77777777" w:rsidR="00F26A50" w:rsidRPr="00BF545B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 w:rsidRP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учешће портфолија трговања у укупној активи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B0652EC" w14:textId="77777777" w:rsidR="00F26A50" w:rsidRPr="004A35C2" w:rsidRDefault="00BF545B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  <w:t>Укупан портфолио финансијских инструмената који се вреднују по фер вредности кроз биланс успеха и оних који су расположиви за продају</w:t>
            </w:r>
            <w:r w:rsidRPr="00BF545B"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  <w:t xml:space="preserve"> / 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  <w:t>Укупна актива</w:t>
            </w:r>
          </w:p>
        </w:tc>
      </w:tr>
      <w:tr w:rsidR="00F26A50" w:rsidRPr="00E10D7A" w14:paraId="6C644155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301B4693" w14:textId="77777777" w:rsidR="00F26A50" w:rsidRPr="004A35C2" w:rsidRDefault="00F26A50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F334C" w14:textId="5BBCA756" w:rsidR="00F26A50" w:rsidRPr="004A35C2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</w:t>
            </w:r>
            <w:r w:rsidRP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чешће </w:t>
            </w:r>
            <w:r w:rsidR="00E10D7A" w:rsidRPr="00E10D7A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ванбилансних изложености </w:t>
            </w:r>
            <w:r w:rsidRP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 укупној активи</w:t>
            </w:r>
            <w:r w:rsidRPr="007B0F2D" w:rsidDel="00BF545B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20F9F6F" w14:textId="623DDADE" w:rsidR="00F26A50" w:rsidRPr="00E10D7A" w:rsidRDefault="00E10D7A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Укупна номинална вредност </w:t>
            </w:r>
            <w:r w:rsidRPr="00E10D7A">
              <w:rPr>
                <w:rFonts w:ascii="Arial" w:eastAsia="Times New Roman" w:hAnsi="Arial" w:cs="Arial"/>
                <w:noProof/>
                <w:sz w:val="24"/>
                <w:szCs w:val="24"/>
              </w:rPr>
              <w:t>преузетих неопозивих обавеза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, </w:t>
            </w:r>
            <w:r w:rsidRPr="00E10D7A">
              <w:rPr>
                <w:rFonts w:ascii="Arial" w:eastAsia="Times New Roman" w:hAnsi="Arial" w:cs="Arial"/>
                <w:noProof/>
                <w:sz w:val="24"/>
                <w:szCs w:val="24"/>
              </w:rPr>
              <w:t>финансијских гаранција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и о</w:t>
            </w:r>
            <w:r w:rsidRPr="00E10D7A">
              <w:rPr>
                <w:rFonts w:ascii="Arial" w:eastAsia="Times New Roman" w:hAnsi="Arial" w:cs="Arial"/>
                <w:noProof/>
                <w:sz w:val="24"/>
                <w:szCs w:val="24"/>
              </w:rPr>
              <w:t>стал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их</w:t>
            </w:r>
            <w:r w:rsidRPr="00E10D7A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преузет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их</w:t>
            </w:r>
            <w:r w:rsidRPr="00E10D7A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обавез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а</w:t>
            </w:r>
          </w:p>
        </w:tc>
      </w:tr>
      <w:tr w:rsidR="00FB19AF" w:rsidRPr="004A35C2" w14:paraId="0C549595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5D2B5C2E" w14:textId="77777777" w:rsidR="00FB19AF" w:rsidRPr="004A35C2" w:rsidRDefault="00FB19AF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C25C1" w14:textId="77777777" w:rsidR="00FB19AF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 w:rsidRP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учешће послова са дериватима у укупној активи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CC13D2C" w14:textId="1869667A" w:rsidR="00FB19AF" w:rsidRPr="00FB19AF" w:rsidRDefault="00FB19AF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bookmarkStart w:id="0" w:name="_Hlk182837798"/>
            <w:r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  <w:t>Укупна номинална вредност деривата намењених трговању и деривата намењених инте</w:t>
            </w:r>
            <w:r w:rsidR="00FD1054"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  <w:t>р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  <w:t xml:space="preserve">ној заштити (хеџингу) </w:t>
            </w:r>
            <w:r w:rsidRPr="00BF545B"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  <w:t xml:space="preserve">/ 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  <w:t>Укупна актива</w:t>
            </w:r>
            <w:bookmarkEnd w:id="0"/>
          </w:p>
        </w:tc>
      </w:tr>
      <w:tr w:rsidR="00FB19AF" w:rsidRPr="004A35C2" w14:paraId="32A7B7AB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23FB2B61" w14:textId="77777777" w:rsidR="00FB19AF" w:rsidRPr="004A35C2" w:rsidRDefault="00FB19AF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BEF31" w14:textId="516A11E2" w:rsidR="00FB19AF" w:rsidRPr="004A35C2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</w:t>
            </w: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чешће </w:t>
            </w:r>
            <w:r w:rsidR="00FB19AF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бруто </w:t>
            </w:r>
            <w:r w:rsidR="00FB19AF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  <w:t>NPL</w:t>
            </w:r>
            <w:r w:rsidR="00FB19AF"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  <w:r w:rsidR="00FB19AF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 укупним кредитима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D7D1552" w14:textId="00E714C5" w:rsidR="00FB19AF" w:rsidRPr="004A35C2" w:rsidRDefault="00FB19AF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Проблематични кредит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и утврђени у складу са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о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длук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ом којом се уређује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класификациј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а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билансне и ванбилансне активе банке</w:t>
            </w:r>
          </w:p>
        </w:tc>
      </w:tr>
      <w:tr w:rsidR="00FB19AF" w:rsidRPr="004A35C2" w14:paraId="29ED648C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673DDC88" w14:textId="77777777" w:rsidR="00FB19AF" w:rsidRPr="004A35C2" w:rsidRDefault="00FB19AF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23D33" w14:textId="399C8A94" w:rsidR="00FB19AF" w:rsidRPr="004A35C2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</w:t>
            </w:r>
            <w:r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чешће </w:t>
            </w:r>
            <w:r w:rsidR="00FB19AF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нето </w:t>
            </w:r>
            <w:r w:rsidR="00FB19AF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val="en-US"/>
              </w:rPr>
              <w:t>NPL</w:t>
            </w:r>
            <w:r w:rsidR="00FB19AF"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  <w:r w:rsidR="00FB19AF" w:rsidRPr="004A35C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 основном капиталу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74C01CA" w14:textId="514F3332" w:rsidR="00FB19AF" w:rsidRPr="004A35C2" w:rsidRDefault="00FB19AF" w:rsidP="00DF00F1">
            <w:pPr>
              <w:widowControl w:val="0"/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4"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О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>сновн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и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капитал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утврђен</w:t>
            </w:r>
            <w:r w:rsidRPr="004A35C2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у складу са одлуком којом се уређује адекватност капитала</w:t>
            </w:r>
          </w:p>
        </w:tc>
      </w:tr>
      <w:tr w:rsidR="00FB19AF" w:rsidRPr="004A35C2" w14:paraId="3547CFA2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13371140" w14:textId="77777777" w:rsidR="00FB19AF" w:rsidRPr="004A35C2" w:rsidRDefault="00FB19AF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29D752E" w14:textId="17EFAB0C" w:rsidR="00FB19AF" w:rsidRPr="00814F25" w:rsidRDefault="00FB19AF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  <w:r w:rsidRPr="00814F2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ROA</w:t>
            </w:r>
            <w:r w:rsidR="00FD1054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(након пореза)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DA530A4" w14:textId="77777777" w:rsidR="00FB19AF" w:rsidRPr="00814F25" w:rsidRDefault="00FB19AF" w:rsidP="00DF00F1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>Годишња стопа приноса на укупну имовину након пореза</w:t>
            </w:r>
          </w:p>
        </w:tc>
      </w:tr>
      <w:tr w:rsidR="00FB19AF" w:rsidRPr="004A35C2" w14:paraId="315B5429" w14:textId="77777777" w:rsidTr="00DF00F1">
        <w:tc>
          <w:tcPr>
            <w:tcW w:w="2122" w:type="dxa"/>
            <w:vMerge/>
            <w:shd w:val="clear" w:color="auto" w:fill="auto"/>
            <w:vAlign w:val="center"/>
          </w:tcPr>
          <w:p w14:paraId="1EF53B57" w14:textId="77777777" w:rsidR="00FB19AF" w:rsidRPr="004A35C2" w:rsidRDefault="00FB19AF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24901" w14:textId="77777777" w:rsidR="00FB19AF" w:rsidRPr="005801A3" w:rsidDel="007C6687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A1617"/>
                <w:sz w:val="24"/>
                <w:szCs w:val="24"/>
              </w:rPr>
              <w:t>о</w:t>
            </w:r>
            <w:r w:rsidR="00FB19AF" w:rsidRPr="00814F25">
              <w:rPr>
                <w:rFonts w:ascii="Arial" w:hAnsi="Arial" w:cs="Arial"/>
                <w:b/>
                <w:color w:val="1A1617"/>
                <w:sz w:val="24"/>
                <w:szCs w:val="24"/>
              </w:rPr>
              <w:t>бим претходног коришћења ванредне финансијске подршке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9E78162" w14:textId="77777777" w:rsidR="00FB19AF" w:rsidRDefault="00FB19AF" w:rsidP="00DF00F1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</w:tc>
      </w:tr>
    </w:tbl>
    <w:p w14:paraId="17B86E48" w14:textId="77777777" w:rsidR="00D453EF" w:rsidRPr="00545268" w:rsidRDefault="00D453EF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B651255" w14:textId="77777777" w:rsidR="00D453EF" w:rsidRPr="00545268" w:rsidRDefault="00D453EF" w:rsidP="00DF00F1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hAnsi="Arial" w:cs="Arial"/>
          <w:b/>
          <w:color w:val="1A1617"/>
          <w:sz w:val="28"/>
          <w:szCs w:val="28"/>
        </w:rPr>
      </w:pPr>
      <w:proofErr w:type="spellStart"/>
      <w:r w:rsidRPr="00545268">
        <w:rPr>
          <w:rFonts w:ascii="Arial" w:hAnsi="Arial" w:cs="Arial"/>
          <w:b/>
          <w:color w:val="1A1617"/>
          <w:sz w:val="28"/>
          <w:szCs w:val="28"/>
        </w:rPr>
        <w:t>Дискретизација</w:t>
      </w:r>
      <w:proofErr w:type="spellEnd"/>
      <w:r w:rsidRPr="00545268">
        <w:rPr>
          <w:rFonts w:ascii="Arial" w:hAnsi="Arial" w:cs="Arial"/>
          <w:b/>
          <w:color w:val="1A1617"/>
          <w:sz w:val="28"/>
          <w:szCs w:val="28"/>
        </w:rPr>
        <w:t xml:space="preserve"> показатеља</w:t>
      </w:r>
    </w:p>
    <w:p w14:paraId="7F7D21EA" w14:textId="77777777" w:rsidR="00D453EF" w:rsidRPr="00545268" w:rsidRDefault="00D453EF" w:rsidP="00DF00F1">
      <w:pPr>
        <w:widowControl w:val="0"/>
        <w:spacing w:after="0" w:line="240" w:lineRule="auto"/>
        <w:jc w:val="center"/>
        <w:rPr>
          <w:rFonts w:ascii="Arial" w:hAnsi="Arial" w:cs="Arial"/>
          <w:b/>
          <w:color w:val="1A1617"/>
          <w:sz w:val="28"/>
          <w:szCs w:val="28"/>
        </w:rPr>
      </w:pPr>
    </w:p>
    <w:p w14:paraId="61A16241" w14:textId="3D8E082B" w:rsidR="00E640D3" w:rsidRPr="005722F1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  <w:lang w:val="sr-Latn-RS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477954">
        <w:rPr>
          <w:rFonts w:ascii="Arial" w:hAnsi="Arial" w:cs="Arial"/>
          <w:bCs/>
          <w:color w:val="1A1617"/>
          <w:sz w:val="28"/>
          <w:szCs w:val="28"/>
        </w:rPr>
        <w:t>2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3D6C9A" w:rsidRPr="00545268">
        <w:rPr>
          <w:rFonts w:ascii="Arial" w:hAnsi="Arial" w:cs="Arial"/>
          <w:bCs/>
          <w:color w:val="1A1617"/>
          <w:sz w:val="28"/>
          <w:szCs w:val="28"/>
        </w:rPr>
        <w:t xml:space="preserve">За сваки основни </w:t>
      </w:r>
      <w:r w:rsidR="00847049">
        <w:rPr>
          <w:rFonts w:ascii="Arial" w:hAnsi="Arial" w:cs="Arial"/>
          <w:bCs/>
          <w:color w:val="1A1617"/>
          <w:sz w:val="28"/>
          <w:szCs w:val="28"/>
        </w:rPr>
        <w:t>индикатор</w:t>
      </w:r>
      <w:r w:rsidR="003D6C9A" w:rsidRPr="00545268">
        <w:rPr>
          <w:rFonts w:ascii="Arial" w:hAnsi="Arial" w:cs="Arial"/>
          <w:bCs/>
          <w:color w:val="1A1617"/>
          <w:sz w:val="28"/>
          <w:szCs w:val="28"/>
        </w:rPr>
        <w:t xml:space="preserve"> из </w:t>
      </w:r>
      <w:r w:rsidR="00847049">
        <w:rPr>
          <w:rFonts w:ascii="Arial" w:hAnsi="Arial" w:cs="Arial"/>
          <w:bCs/>
          <w:color w:val="1A1617"/>
          <w:sz w:val="28"/>
          <w:szCs w:val="28"/>
        </w:rPr>
        <w:t>тачке</w:t>
      </w:r>
      <w:r w:rsidR="003D6C9A" w:rsidRPr="00545268">
        <w:rPr>
          <w:rFonts w:ascii="Arial" w:hAnsi="Arial" w:cs="Arial"/>
          <w:bCs/>
          <w:color w:val="1A1617"/>
          <w:sz w:val="28"/>
          <w:szCs w:val="28"/>
        </w:rPr>
        <w:t xml:space="preserve"> 1. овог </w:t>
      </w:r>
      <w:r w:rsidR="00D441B3">
        <w:rPr>
          <w:rFonts w:ascii="Arial" w:hAnsi="Arial" w:cs="Arial"/>
          <w:bCs/>
          <w:color w:val="1A1617"/>
          <w:sz w:val="28"/>
          <w:szCs w:val="28"/>
        </w:rPr>
        <w:t>п</w:t>
      </w:r>
      <w:r w:rsidR="00847049">
        <w:rPr>
          <w:rFonts w:ascii="Arial" w:hAnsi="Arial" w:cs="Arial"/>
          <w:bCs/>
          <w:color w:val="1A1617"/>
          <w:sz w:val="28"/>
          <w:szCs w:val="28"/>
        </w:rPr>
        <w:t>рилога</w:t>
      </w:r>
      <w:r w:rsidR="00835465">
        <w:rPr>
          <w:rFonts w:ascii="Arial" w:hAnsi="Arial" w:cs="Arial"/>
          <w:bCs/>
          <w:color w:val="1A1617"/>
          <w:sz w:val="28"/>
          <w:szCs w:val="28"/>
        </w:rPr>
        <w:t xml:space="preserve"> (</w:t>
      </w:r>
      <w:proofErr w:type="spellStart"/>
      <w:r w:rsidR="00171C7A" w:rsidRPr="00814F25">
        <w:rPr>
          <w:rFonts w:ascii="Arial" w:hAnsi="Arial" w:cs="Arial"/>
          <w:b/>
          <w:i/>
          <w:iCs/>
          <w:color w:val="1A1617"/>
          <w:sz w:val="28"/>
          <w:szCs w:val="28"/>
          <w:lang w:val="sr-Latn-RS"/>
        </w:rPr>
        <w:t>x</w:t>
      </w:r>
      <w:r w:rsidR="0048659D" w:rsidRPr="00814F25">
        <w:rPr>
          <w:rFonts w:ascii="Arial" w:hAnsi="Arial" w:cs="Arial"/>
          <w:b/>
          <w:i/>
          <w:iCs/>
          <w:color w:val="1A1617"/>
          <w:sz w:val="28"/>
          <w:szCs w:val="28"/>
          <w:vertAlign w:val="subscript"/>
          <w:lang w:val="sr-Latn-RS"/>
        </w:rPr>
        <w:t>ij</w:t>
      </w:r>
      <w:proofErr w:type="spellEnd"/>
      <w:r w:rsidR="00835465">
        <w:rPr>
          <w:rFonts w:ascii="Arial" w:hAnsi="Arial" w:cs="Arial"/>
          <w:bCs/>
          <w:color w:val="1A1617"/>
          <w:sz w:val="28"/>
          <w:szCs w:val="28"/>
        </w:rPr>
        <w:t>)</w:t>
      </w:r>
      <w:r w:rsidR="003D6C9A" w:rsidRPr="00814F25">
        <w:rPr>
          <w:rFonts w:ascii="Arial" w:hAnsi="Arial" w:cs="Arial"/>
          <w:bCs/>
          <w:color w:val="1A1617"/>
          <w:sz w:val="28"/>
          <w:szCs w:val="28"/>
          <w:lang w:val="sr-Latn-RS"/>
        </w:rPr>
        <w:t xml:space="preserve"> </w:t>
      </w:r>
      <w:r w:rsidR="003D6C9A" w:rsidRPr="00545268">
        <w:rPr>
          <w:rFonts w:ascii="Arial" w:hAnsi="Arial" w:cs="Arial"/>
          <w:bCs/>
          <w:color w:val="1A1617"/>
          <w:sz w:val="28"/>
          <w:szCs w:val="28"/>
        </w:rPr>
        <w:t xml:space="preserve">обрачунава </w:t>
      </w:r>
      <w:r w:rsidR="00477954">
        <w:rPr>
          <w:rFonts w:ascii="Arial" w:hAnsi="Arial" w:cs="Arial"/>
          <w:bCs/>
          <w:color w:val="1A1617"/>
          <w:sz w:val="28"/>
          <w:szCs w:val="28"/>
        </w:rPr>
        <w:t xml:space="preserve">се </w:t>
      </w:r>
      <w:r w:rsidR="003D6C9A" w:rsidRPr="00545268">
        <w:rPr>
          <w:rFonts w:ascii="Arial" w:hAnsi="Arial" w:cs="Arial"/>
          <w:bCs/>
          <w:color w:val="1A1617"/>
          <w:sz w:val="28"/>
          <w:szCs w:val="28"/>
        </w:rPr>
        <w:t xml:space="preserve">број </w:t>
      </w:r>
      <w:proofErr w:type="spellStart"/>
      <w:r w:rsidR="003D6C9A" w:rsidRPr="00545268">
        <w:rPr>
          <w:rFonts w:ascii="Arial" w:hAnsi="Arial" w:cs="Arial"/>
          <w:bCs/>
          <w:color w:val="1A1617"/>
          <w:sz w:val="28"/>
          <w:szCs w:val="28"/>
        </w:rPr>
        <w:t>бинова</w:t>
      </w:r>
      <w:proofErr w:type="spellEnd"/>
      <w:r w:rsidR="00835465">
        <w:rPr>
          <w:rFonts w:ascii="Arial" w:hAnsi="Arial" w:cs="Arial"/>
          <w:bCs/>
          <w:color w:val="1A1617"/>
          <w:sz w:val="28"/>
          <w:szCs w:val="28"/>
        </w:rPr>
        <w:t xml:space="preserve"> (</w:t>
      </w:r>
      <w:proofErr w:type="spellStart"/>
      <w:r w:rsidR="0048659D" w:rsidRPr="00814F25">
        <w:rPr>
          <w:rFonts w:ascii="Arial" w:hAnsi="Arial" w:cs="Arial"/>
          <w:b/>
          <w:i/>
          <w:iCs/>
          <w:color w:val="1A1617"/>
          <w:sz w:val="28"/>
          <w:szCs w:val="28"/>
          <w:lang w:val="sr-Latn-RS"/>
        </w:rPr>
        <w:t>k</w:t>
      </w:r>
      <w:r w:rsidR="0048659D" w:rsidRPr="00814F25">
        <w:rPr>
          <w:rFonts w:ascii="Arial" w:hAnsi="Arial" w:cs="Arial"/>
          <w:b/>
          <w:i/>
          <w:iCs/>
          <w:color w:val="1A1617"/>
          <w:sz w:val="28"/>
          <w:szCs w:val="28"/>
          <w:vertAlign w:val="subscript"/>
          <w:lang w:val="sr-Latn-RS"/>
        </w:rPr>
        <w:t>ij</w:t>
      </w:r>
      <w:proofErr w:type="spellEnd"/>
      <w:r w:rsidR="00835465" w:rsidRPr="00814F25">
        <w:rPr>
          <w:rFonts w:ascii="Arial" w:hAnsi="Arial" w:cs="Arial"/>
          <w:bCs/>
          <w:i/>
          <w:iCs/>
          <w:color w:val="1A1617"/>
          <w:sz w:val="28"/>
          <w:szCs w:val="28"/>
        </w:rPr>
        <w:t>)</w:t>
      </w:r>
      <w:r w:rsidR="003D6C9A" w:rsidRPr="00814F25">
        <w:rPr>
          <w:rFonts w:ascii="Arial" w:hAnsi="Arial" w:cs="Arial"/>
          <w:bCs/>
          <w:color w:val="1A1617"/>
          <w:sz w:val="28"/>
          <w:szCs w:val="28"/>
          <w:lang w:val="sr-Latn-RS"/>
        </w:rPr>
        <w:t xml:space="preserve"> </w:t>
      </w:r>
      <w:r w:rsidR="003D6C9A" w:rsidRPr="00545268">
        <w:rPr>
          <w:rFonts w:ascii="Arial" w:hAnsi="Arial" w:cs="Arial"/>
          <w:bCs/>
          <w:color w:val="1A1617"/>
          <w:sz w:val="28"/>
          <w:szCs w:val="28"/>
        </w:rPr>
        <w:t>као најближи цео број</w:t>
      </w:r>
      <w:r w:rsidR="00477954">
        <w:rPr>
          <w:rFonts w:ascii="Arial" w:hAnsi="Arial" w:cs="Arial"/>
          <w:bCs/>
          <w:color w:val="1A1617"/>
          <w:sz w:val="28"/>
          <w:szCs w:val="28"/>
        </w:rPr>
        <w:t xml:space="preserve"> на следећи начин</w:t>
      </w:r>
      <w:r w:rsidR="003D6C9A" w:rsidRPr="00545268">
        <w:rPr>
          <w:rFonts w:ascii="Arial" w:hAnsi="Arial" w:cs="Arial"/>
          <w:bCs/>
          <w:color w:val="1A1617"/>
          <w:sz w:val="28"/>
          <w:szCs w:val="28"/>
        </w:rPr>
        <w:t>:</w:t>
      </w:r>
    </w:p>
    <w:p w14:paraId="0743367A" w14:textId="6EBFB44E" w:rsidR="003D6C9A" w:rsidRPr="00545268" w:rsidRDefault="00C809A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5B5BE4" wp14:editId="1EDBBBC8">
            <wp:extent cx="5498465" cy="542290"/>
            <wp:effectExtent l="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46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D9826" w14:textId="0CDC23E1" w:rsidR="003D6C9A" w:rsidRDefault="00E640D3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45268">
        <w:rPr>
          <w:rFonts w:ascii="Arial" w:hAnsi="Arial" w:cs="Arial"/>
          <w:sz w:val="28"/>
          <w:szCs w:val="28"/>
        </w:rPr>
        <w:t>г</w:t>
      </w:r>
      <w:r w:rsidR="003D6C9A" w:rsidRPr="00545268">
        <w:rPr>
          <w:rFonts w:ascii="Arial" w:hAnsi="Arial" w:cs="Arial"/>
          <w:sz w:val="28"/>
          <w:szCs w:val="28"/>
        </w:rPr>
        <w:t xml:space="preserve">де </w:t>
      </w:r>
      <w:r w:rsidR="002D7C7A">
        <w:rPr>
          <w:rFonts w:ascii="Arial" w:hAnsi="Arial" w:cs="Arial"/>
          <w:sz w:val="28"/>
          <w:szCs w:val="28"/>
        </w:rPr>
        <w:t>су</w:t>
      </w:r>
      <w:r w:rsidR="003D6C9A" w:rsidRPr="00545268">
        <w:rPr>
          <w:rFonts w:ascii="Arial" w:hAnsi="Arial" w:cs="Arial"/>
          <w:sz w:val="28"/>
          <w:szCs w:val="28"/>
        </w:rPr>
        <w:t xml:space="preserve">: </w:t>
      </w:r>
    </w:p>
    <w:p w14:paraId="2B12BBA1" w14:textId="77777777" w:rsidR="00847049" w:rsidRPr="00545268" w:rsidRDefault="00847049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08B4D074" w14:textId="77777777" w:rsidR="00847049" w:rsidRDefault="00847049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545268">
        <w:rPr>
          <w:rFonts w:ascii="Arial" w:hAnsi="Arial" w:cs="Arial"/>
          <w:b/>
          <w:i/>
          <w:iCs/>
          <w:color w:val="1A1617"/>
          <w:sz w:val="28"/>
          <w:szCs w:val="28"/>
          <w:lang w:val="en-US"/>
        </w:rPr>
        <w:t>n</w:t>
      </w:r>
      <w:r w:rsidR="00477954" w:rsidRPr="00814F25">
        <w:rPr>
          <w:rFonts w:ascii="Arial" w:hAnsi="Arial" w:cs="Arial"/>
          <w:sz w:val="28"/>
          <w:szCs w:val="28"/>
        </w:rPr>
        <w:t xml:space="preserve"> – </w:t>
      </w:r>
      <w:r w:rsidRPr="00545268">
        <w:rPr>
          <w:rFonts w:ascii="Arial" w:hAnsi="Arial" w:cs="Arial"/>
          <w:bCs/>
          <w:color w:val="1A1617"/>
          <w:sz w:val="28"/>
          <w:szCs w:val="28"/>
        </w:rPr>
        <w:t xml:space="preserve">индекс појединачне </w:t>
      </w:r>
      <w:proofErr w:type="gramStart"/>
      <w:r w:rsidRPr="00545268">
        <w:rPr>
          <w:rFonts w:ascii="Arial" w:hAnsi="Arial" w:cs="Arial"/>
          <w:bCs/>
          <w:color w:val="1A1617"/>
          <w:sz w:val="28"/>
          <w:szCs w:val="28"/>
        </w:rPr>
        <w:t>банке</w:t>
      </w:r>
      <w:r w:rsidR="00F26A50">
        <w:rPr>
          <w:rFonts w:ascii="Arial" w:hAnsi="Arial" w:cs="Arial"/>
          <w:bCs/>
          <w:color w:val="1A1617"/>
          <w:sz w:val="28"/>
          <w:szCs w:val="28"/>
          <w:lang w:val="sr-Latn-RS"/>
        </w:rPr>
        <w:t>;</w:t>
      </w:r>
      <w:proofErr w:type="gramEnd"/>
    </w:p>
    <w:p w14:paraId="1BADB820" w14:textId="77777777" w:rsidR="00847049" w:rsidRDefault="00847049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545268">
        <w:rPr>
          <w:rFonts w:ascii="Arial" w:hAnsi="Arial" w:cs="Arial"/>
          <w:b/>
          <w:i/>
          <w:iCs/>
          <w:color w:val="1A1617"/>
          <w:sz w:val="28"/>
          <w:szCs w:val="28"/>
          <w:lang w:val="en-US"/>
        </w:rPr>
        <w:t>i</w:t>
      </w:r>
      <w:r w:rsidR="00477954" w:rsidRPr="00814F25">
        <w:rPr>
          <w:rFonts w:ascii="Arial" w:hAnsi="Arial" w:cs="Arial"/>
          <w:sz w:val="28"/>
          <w:szCs w:val="28"/>
        </w:rPr>
        <w:t xml:space="preserve"> – </w:t>
      </w:r>
      <w:r w:rsidRPr="00545268">
        <w:rPr>
          <w:rFonts w:ascii="Arial" w:hAnsi="Arial" w:cs="Arial"/>
          <w:bCs/>
          <w:color w:val="1A1617"/>
          <w:sz w:val="28"/>
          <w:szCs w:val="28"/>
        </w:rPr>
        <w:t xml:space="preserve">индекс индикатора </w:t>
      </w:r>
      <w:proofErr w:type="gramStart"/>
      <w:r w:rsidRPr="00545268">
        <w:rPr>
          <w:rFonts w:ascii="Arial" w:hAnsi="Arial" w:cs="Arial"/>
          <w:bCs/>
          <w:color w:val="1A1617"/>
          <w:sz w:val="28"/>
          <w:szCs w:val="28"/>
        </w:rPr>
        <w:t>ризика</w:t>
      </w:r>
      <w:r w:rsidR="00F26A50">
        <w:rPr>
          <w:rFonts w:ascii="Arial" w:hAnsi="Arial" w:cs="Arial"/>
          <w:bCs/>
          <w:color w:val="1A1617"/>
          <w:sz w:val="28"/>
          <w:szCs w:val="28"/>
          <w:lang w:val="sr-Latn-RS"/>
        </w:rPr>
        <w:t>;</w:t>
      </w:r>
      <w:proofErr w:type="gramEnd"/>
      <w:r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</w:p>
    <w:p w14:paraId="727D7020" w14:textId="77777777" w:rsidR="003D6C9A" w:rsidRPr="00814F25" w:rsidRDefault="00847049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  <w:lang w:val="sr-Latn-RS"/>
        </w:rPr>
      </w:pPr>
      <w:r w:rsidRPr="00545268">
        <w:rPr>
          <w:rFonts w:ascii="Arial" w:hAnsi="Arial" w:cs="Arial"/>
          <w:b/>
          <w:i/>
          <w:iCs/>
          <w:color w:val="1A1617"/>
          <w:sz w:val="28"/>
          <w:szCs w:val="28"/>
          <w:lang w:val="sr-Latn-RS"/>
        </w:rPr>
        <w:t>j</w:t>
      </w:r>
      <w:r w:rsidR="00477954" w:rsidRPr="00814F25">
        <w:rPr>
          <w:rFonts w:ascii="Arial" w:hAnsi="Arial" w:cs="Arial"/>
          <w:sz w:val="28"/>
          <w:szCs w:val="28"/>
        </w:rPr>
        <w:t xml:space="preserve"> – </w:t>
      </w:r>
      <w:r w:rsidRPr="00545268">
        <w:rPr>
          <w:rFonts w:ascii="Arial" w:hAnsi="Arial" w:cs="Arial"/>
          <w:bCs/>
          <w:color w:val="1A1617"/>
          <w:sz w:val="28"/>
          <w:szCs w:val="28"/>
        </w:rPr>
        <w:t>индекс категорије ризика</w:t>
      </w:r>
      <w:r w:rsidR="00F26A50">
        <w:rPr>
          <w:rFonts w:ascii="Arial" w:hAnsi="Arial" w:cs="Arial"/>
          <w:bCs/>
          <w:color w:val="1A1617"/>
          <w:sz w:val="28"/>
          <w:szCs w:val="28"/>
          <w:lang w:val="sr-Latn-RS"/>
        </w:rPr>
        <w:t>;</w:t>
      </w:r>
    </w:p>
    <w:p w14:paraId="514366EC" w14:textId="74592270" w:rsidR="003D6C9A" w:rsidRPr="00545268" w:rsidRDefault="003D6C9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14F25">
        <w:rPr>
          <w:rFonts w:ascii="Arial" w:hAnsi="Arial" w:cs="Arial"/>
          <w:b/>
          <w:bCs/>
          <w:sz w:val="28"/>
          <w:szCs w:val="28"/>
          <w:lang w:val="sr-Latn-RS"/>
        </w:rPr>
        <w:t>N</w:t>
      </w:r>
      <w:r w:rsidRPr="00814F25">
        <w:rPr>
          <w:rFonts w:ascii="Arial" w:hAnsi="Arial" w:cs="Arial"/>
          <w:sz w:val="28"/>
          <w:szCs w:val="28"/>
        </w:rPr>
        <w:t xml:space="preserve"> – </w:t>
      </w:r>
      <w:r w:rsidRPr="00545268">
        <w:rPr>
          <w:rFonts w:ascii="Arial" w:hAnsi="Arial" w:cs="Arial"/>
          <w:sz w:val="28"/>
          <w:szCs w:val="28"/>
        </w:rPr>
        <w:t xml:space="preserve">број банака које уплаћују доприносе </w:t>
      </w:r>
      <w:r w:rsidR="00D028F7">
        <w:rPr>
          <w:rFonts w:ascii="Arial" w:hAnsi="Arial" w:cs="Arial"/>
          <w:sz w:val="28"/>
          <w:szCs w:val="28"/>
        </w:rPr>
        <w:t xml:space="preserve">у </w:t>
      </w:r>
      <w:r w:rsidRPr="00545268">
        <w:rPr>
          <w:rFonts w:ascii="Arial" w:hAnsi="Arial" w:cs="Arial"/>
          <w:sz w:val="28"/>
          <w:szCs w:val="28"/>
        </w:rPr>
        <w:t>Фонд, за који се обрачунава</w:t>
      </w:r>
      <w:r w:rsidR="00477954">
        <w:rPr>
          <w:rFonts w:ascii="Arial" w:hAnsi="Arial" w:cs="Arial"/>
          <w:sz w:val="28"/>
          <w:szCs w:val="28"/>
        </w:rPr>
        <w:t>ју</w:t>
      </w:r>
      <w:r w:rsidRPr="00545268">
        <w:rPr>
          <w:rFonts w:ascii="Arial" w:hAnsi="Arial" w:cs="Arial"/>
          <w:sz w:val="28"/>
          <w:szCs w:val="28"/>
        </w:rPr>
        <w:t xml:space="preserve"> следећи показатељ</w:t>
      </w:r>
      <w:r w:rsidR="00477954">
        <w:rPr>
          <w:rFonts w:ascii="Arial" w:hAnsi="Arial" w:cs="Arial"/>
          <w:sz w:val="28"/>
          <w:szCs w:val="28"/>
        </w:rPr>
        <w:t>и</w:t>
      </w:r>
      <w:r w:rsidRPr="00545268">
        <w:rPr>
          <w:rFonts w:ascii="Arial" w:hAnsi="Arial" w:cs="Arial"/>
          <w:sz w:val="28"/>
          <w:szCs w:val="28"/>
        </w:rPr>
        <w:t>:</w:t>
      </w:r>
    </w:p>
    <w:p w14:paraId="21D049C6" w14:textId="653211A0" w:rsidR="00E640D3" w:rsidRPr="00545268" w:rsidRDefault="00C809AA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3E11F9F" wp14:editId="6D68B69A">
            <wp:extent cx="5760720" cy="749935"/>
            <wp:effectExtent l="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AE2D5" w14:textId="4C822E6B" w:rsidR="00E640D3" w:rsidRDefault="00C809AA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  <w:lang w:val="sr-Latn-RS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E86D434" wp14:editId="6B6994E6">
            <wp:extent cx="5760720" cy="494030"/>
            <wp:effectExtent l="0" t="0" r="0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5587A6A1" wp14:editId="0EC0E045">
            <wp:extent cx="5760720" cy="646430"/>
            <wp:effectExtent l="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CDE2C" w14:textId="77777777" w:rsidR="00F26A50" w:rsidRPr="00814F25" w:rsidRDefault="00F26A50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  <w:lang w:val="sr-Latn-RS"/>
        </w:rPr>
      </w:pPr>
    </w:p>
    <w:p w14:paraId="2A73FAD4" w14:textId="014DCC42" w:rsidR="00E640D3" w:rsidRDefault="00D028F7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D028F7">
        <w:rPr>
          <w:rFonts w:ascii="Arial" w:hAnsi="Arial" w:cs="Arial"/>
          <w:bCs/>
          <w:color w:val="1A1617"/>
          <w:sz w:val="28"/>
          <w:szCs w:val="28"/>
        </w:rPr>
        <w:tab/>
      </w:r>
      <w:r>
        <w:rPr>
          <w:rFonts w:ascii="Arial" w:hAnsi="Arial" w:cs="Arial"/>
          <w:bCs/>
          <w:color w:val="1A1617"/>
          <w:sz w:val="28"/>
          <w:szCs w:val="28"/>
        </w:rPr>
        <w:t>3.</w:t>
      </w:r>
      <w:r w:rsidR="00F47AC3"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За сваки </w:t>
      </w:r>
      <w:r w:rsidR="00477954">
        <w:rPr>
          <w:rFonts w:ascii="Arial" w:hAnsi="Arial" w:cs="Arial"/>
          <w:bCs/>
          <w:color w:val="1A1617"/>
          <w:sz w:val="28"/>
          <w:szCs w:val="28"/>
        </w:rPr>
        <w:t xml:space="preserve">од </w:t>
      </w:r>
      <w:r w:rsidR="00BD366C">
        <w:rPr>
          <w:rFonts w:ascii="Arial" w:hAnsi="Arial" w:cs="Arial"/>
          <w:bCs/>
          <w:color w:val="1A1617"/>
          <w:sz w:val="28"/>
          <w:szCs w:val="28"/>
        </w:rPr>
        <w:t xml:space="preserve">основних </w:t>
      </w:r>
      <w:r w:rsidR="00171C7A" w:rsidRPr="00545268">
        <w:rPr>
          <w:rFonts w:ascii="Arial" w:hAnsi="Arial" w:cs="Arial"/>
          <w:bCs/>
          <w:color w:val="1A1617"/>
          <w:sz w:val="28"/>
          <w:szCs w:val="28"/>
        </w:rPr>
        <w:t>индикатор</w:t>
      </w:r>
      <w:r w:rsidR="00477954">
        <w:rPr>
          <w:rFonts w:ascii="Arial" w:hAnsi="Arial" w:cs="Arial"/>
          <w:bCs/>
          <w:color w:val="1A1617"/>
          <w:sz w:val="28"/>
          <w:szCs w:val="28"/>
        </w:rPr>
        <w:t>а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, исти број банака </w:t>
      </w:r>
      <w:r w:rsidR="00477954">
        <w:rPr>
          <w:rFonts w:ascii="Arial" w:hAnsi="Arial" w:cs="Arial"/>
          <w:bCs/>
          <w:color w:val="1A1617"/>
          <w:sz w:val="28"/>
          <w:szCs w:val="28"/>
        </w:rPr>
        <w:t xml:space="preserve">додељује се 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свак</w:t>
      </w:r>
      <w:r w:rsidR="008541DD" w:rsidRPr="00545268">
        <w:rPr>
          <w:rFonts w:ascii="Arial" w:hAnsi="Arial" w:cs="Arial"/>
          <w:bCs/>
          <w:color w:val="1A1617"/>
          <w:sz w:val="28"/>
          <w:szCs w:val="28"/>
        </w:rPr>
        <w:t>ом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бин</w:t>
      </w:r>
      <w:r w:rsidR="008541DD" w:rsidRPr="00545268">
        <w:rPr>
          <w:rFonts w:ascii="Arial" w:hAnsi="Arial" w:cs="Arial"/>
          <w:bCs/>
          <w:color w:val="1A1617"/>
          <w:sz w:val="28"/>
          <w:szCs w:val="28"/>
        </w:rPr>
        <w:t>у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, почевши од</w:t>
      </w:r>
      <w:r w:rsidR="008541DD" w:rsidRPr="00545268">
        <w:rPr>
          <w:rFonts w:ascii="Arial" w:hAnsi="Arial" w:cs="Arial"/>
          <w:bCs/>
          <w:color w:val="1A1617"/>
          <w:sz w:val="28"/>
          <w:szCs w:val="28"/>
        </w:rPr>
        <w:t xml:space="preserve"> додељ</w:t>
      </w:r>
      <w:r>
        <w:rPr>
          <w:rFonts w:ascii="Arial" w:hAnsi="Arial" w:cs="Arial"/>
          <w:bCs/>
          <w:color w:val="1A1617"/>
          <w:sz w:val="28"/>
          <w:szCs w:val="28"/>
        </w:rPr>
        <w:t>ивања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бан</w:t>
      </w:r>
      <w:r>
        <w:rPr>
          <w:rFonts w:ascii="Arial" w:hAnsi="Arial" w:cs="Arial"/>
          <w:bCs/>
          <w:color w:val="1A1617"/>
          <w:sz w:val="28"/>
          <w:szCs w:val="28"/>
        </w:rPr>
        <w:t>а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ка са најнижим вредностима датог </w:t>
      </w:r>
      <w:r>
        <w:rPr>
          <w:rFonts w:ascii="Arial" w:hAnsi="Arial" w:cs="Arial"/>
          <w:bCs/>
          <w:color w:val="1A1617"/>
          <w:sz w:val="28"/>
          <w:szCs w:val="28"/>
        </w:rPr>
        <w:t>индикатора првом бину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. У случају да се број банака не може тачно 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поделити</w:t>
      </w:r>
      <w:r w:rsidR="00BD366C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број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ем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proofErr w:type="spellStart"/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бинова</w:t>
      </w:r>
      <w:proofErr w:type="spellEnd"/>
      <w:r w:rsidR="00BD366C">
        <w:rPr>
          <w:rFonts w:ascii="Arial" w:hAnsi="Arial" w:cs="Arial"/>
          <w:bCs/>
          <w:color w:val="1A1617"/>
          <w:sz w:val="28"/>
          <w:szCs w:val="28"/>
        </w:rPr>
        <w:t xml:space="preserve"> (</w:t>
      </w:r>
      <w:r w:rsidR="00244062">
        <w:rPr>
          <w:rFonts w:ascii="Arial" w:hAnsi="Arial" w:cs="Arial"/>
          <w:bCs/>
          <w:color w:val="1A1617"/>
          <w:sz w:val="28"/>
          <w:szCs w:val="28"/>
        </w:rPr>
        <w:t>резултат није</w:t>
      </w:r>
      <w:r w:rsidR="00BD366C">
        <w:rPr>
          <w:rFonts w:ascii="Arial" w:hAnsi="Arial" w:cs="Arial"/>
          <w:bCs/>
          <w:color w:val="1A1617"/>
          <w:sz w:val="28"/>
          <w:szCs w:val="28"/>
        </w:rPr>
        <w:t xml:space="preserve"> цео број)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, свак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ом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од првих </w:t>
      </w:r>
      <w:r w:rsidR="00E640D3" w:rsidRPr="00814F25">
        <w:rPr>
          <w:rFonts w:ascii="Arial" w:hAnsi="Arial" w:cs="Arial"/>
          <w:b/>
          <w:i/>
          <w:iCs/>
          <w:color w:val="1A1617"/>
          <w:sz w:val="28"/>
          <w:szCs w:val="28"/>
        </w:rPr>
        <w:t>r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proofErr w:type="spellStart"/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бинова</w:t>
      </w:r>
      <w:proofErr w:type="spellEnd"/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, почевши од бина кој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ем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BD366C">
        <w:rPr>
          <w:rFonts w:ascii="Arial" w:hAnsi="Arial" w:cs="Arial"/>
          <w:bCs/>
          <w:color w:val="1A1617"/>
          <w:sz w:val="28"/>
          <w:szCs w:val="28"/>
        </w:rPr>
        <w:t>су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додељен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е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банк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е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са најнижим вредностима датог 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индикатора</w:t>
      </w:r>
      <w:r w:rsidR="00E640D3" w:rsidRPr="00BD366C">
        <w:rPr>
          <w:rFonts w:ascii="Arial" w:hAnsi="Arial" w:cs="Arial"/>
          <w:bCs/>
          <w:color w:val="1A1617"/>
          <w:sz w:val="28"/>
          <w:szCs w:val="28"/>
        </w:rPr>
        <w:t>,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где </w:t>
      </w:r>
      <w:r w:rsidR="00E640D3" w:rsidRPr="00814F25">
        <w:rPr>
          <w:rFonts w:ascii="Arial" w:hAnsi="Arial" w:cs="Arial"/>
          <w:b/>
          <w:i/>
          <w:iCs/>
          <w:color w:val="1A1617"/>
          <w:sz w:val="28"/>
          <w:szCs w:val="28"/>
        </w:rPr>
        <w:t>r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представља остатак од поделе броја банака</w:t>
      </w:r>
      <w:r w:rsidR="00BD366C">
        <w:rPr>
          <w:rFonts w:ascii="Arial" w:hAnsi="Arial" w:cs="Arial"/>
          <w:bCs/>
          <w:color w:val="1A1617"/>
          <w:sz w:val="28"/>
          <w:szCs w:val="28"/>
        </w:rPr>
        <w:t xml:space="preserve"> (</w:t>
      </w:r>
      <w:r w:rsidR="00E640D3" w:rsidRPr="00814F25">
        <w:rPr>
          <w:rFonts w:ascii="Arial" w:hAnsi="Arial" w:cs="Arial"/>
          <w:b/>
          <w:i/>
          <w:iCs/>
          <w:color w:val="1A1617"/>
          <w:sz w:val="28"/>
          <w:szCs w:val="28"/>
        </w:rPr>
        <w:t>N</w:t>
      </w:r>
      <w:r w:rsidR="00BD366C" w:rsidRPr="00814F25">
        <w:rPr>
          <w:rFonts w:ascii="Arial" w:hAnsi="Arial" w:cs="Arial"/>
          <w:bCs/>
          <w:color w:val="1A1617"/>
          <w:sz w:val="28"/>
          <w:szCs w:val="28"/>
        </w:rPr>
        <w:t>)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по броју </w:t>
      </w:r>
      <w:proofErr w:type="spellStart"/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бинова</w:t>
      </w:r>
      <w:proofErr w:type="spellEnd"/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BD366C">
        <w:rPr>
          <w:rFonts w:ascii="Arial" w:hAnsi="Arial" w:cs="Arial"/>
          <w:bCs/>
          <w:color w:val="1A1617"/>
          <w:sz w:val="28"/>
          <w:szCs w:val="28"/>
        </w:rPr>
        <w:t>(</w:t>
      </w:r>
      <w:r w:rsidR="00E640D3" w:rsidRPr="00545268">
        <w:rPr>
          <w:rFonts w:ascii="Arial" w:hAnsi="Arial" w:cs="Arial"/>
          <w:b/>
          <w:color w:val="1A1617"/>
          <w:sz w:val="28"/>
          <w:szCs w:val="28"/>
        </w:rPr>
        <w:t>k</w:t>
      </w:r>
      <w:proofErr w:type="spellStart"/>
      <w:r w:rsidR="0048659D" w:rsidRPr="00545268">
        <w:rPr>
          <w:rFonts w:ascii="Arial" w:hAnsi="Arial" w:cs="Arial"/>
          <w:bCs/>
          <w:color w:val="1A1617"/>
          <w:sz w:val="28"/>
          <w:szCs w:val="28"/>
          <w:vertAlign w:val="subscript"/>
          <w:lang w:val="sr-Latn-RS"/>
        </w:rPr>
        <w:t>ij</w:t>
      </w:r>
      <w:proofErr w:type="spellEnd"/>
      <w:r w:rsidR="00BD366C" w:rsidRPr="00A50AA9">
        <w:rPr>
          <w:rFonts w:ascii="Arial" w:hAnsi="Arial" w:cs="Arial"/>
          <w:bCs/>
          <w:color w:val="1A1617"/>
          <w:sz w:val="28"/>
          <w:szCs w:val="28"/>
        </w:rPr>
        <w:t>)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>, додељује се једна додатна банка.</w:t>
      </w:r>
    </w:p>
    <w:p w14:paraId="118CF4DC" w14:textId="77777777" w:rsidR="004A35C2" w:rsidRPr="00DF00F1" w:rsidRDefault="004A35C2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16"/>
          <w:szCs w:val="16"/>
        </w:rPr>
      </w:pPr>
    </w:p>
    <w:p w14:paraId="679A4C40" w14:textId="3D9BE88F" w:rsidR="00E640D3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D028F7">
        <w:rPr>
          <w:rFonts w:ascii="Arial" w:hAnsi="Arial" w:cs="Arial"/>
          <w:bCs/>
          <w:color w:val="1A1617"/>
          <w:sz w:val="28"/>
          <w:szCs w:val="28"/>
        </w:rPr>
        <w:t>4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За сваки </w:t>
      </w:r>
      <w:r w:rsidR="00BD366C">
        <w:rPr>
          <w:rFonts w:ascii="Arial" w:hAnsi="Arial" w:cs="Arial"/>
          <w:bCs/>
          <w:color w:val="1A1617"/>
          <w:sz w:val="28"/>
          <w:szCs w:val="28"/>
        </w:rPr>
        <w:t xml:space="preserve">од </w:t>
      </w:r>
      <w:r w:rsidR="00171C7A" w:rsidRPr="00545268">
        <w:rPr>
          <w:rFonts w:ascii="Arial" w:hAnsi="Arial" w:cs="Arial"/>
          <w:bCs/>
          <w:color w:val="1A1617"/>
          <w:sz w:val="28"/>
          <w:szCs w:val="28"/>
        </w:rPr>
        <w:t>индикатор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а</w:t>
      </w:r>
      <w:r w:rsidR="00E640D3" w:rsidRPr="00545268">
        <w:rPr>
          <w:rFonts w:ascii="Arial" w:hAnsi="Arial" w:cs="Arial"/>
          <w:bCs/>
          <w:color w:val="1A1617"/>
          <w:sz w:val="28"/>
          <w:szCs w:val="28"/>
        </w:rPr>
        <w:t xml:space="preserve">, 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>свакој банци кој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а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 припада једно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м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 бин</w:t>
      </w:r>
      <w:r w:rsidR="00BD366C">
        <w:rPr>
          <w:rFonts w:ascii="Arial" w:hAnsi="Arial" w:cs="Arial"/>
          <w:bCs/>
          <w:color w:val="1A1617"/>
          <w:sz w:val="28"/>
          <w:szCs w:val="28"/>
        </w:rPr>
        <w:t>у</w:t>
      </w:r>
      <w:r w:rsidR="00125E0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BD366C">
        <w:rPr>
          <w:rFonts w:ascii="Arial" w:hAnsi="Arial" w:cs="Arial"/>
          <w:bCs/>
          <w:color w:val="1A1617"/>
          <w:sz w:val="28"/>
          <w:szCs w:val="28"/>
        </w:rPr>
        <w:t xml:space="preserve">додељује се </w:t>
      </w:r>
      <w:r w:rsidR="008541DD" w:rsidRPr="00545268">
        <w:rPr>
          <w:rFonts w:ascii="Arial" w:hAnsi="Arial" w:cs="Arial"/>
          <w:bCs/>
          <w:color w:val="1A1617"/>
          <w:sz w:val="28"/>
          <w:szCs w:val="28"/>
        </w:rPr>
        <w:t xml:space="preserve">вредност </w:t>
      </w:r>
      <w:r w:rsidR="00125E08">
        <w:rPr>
          <w:rFonts w:ascii="Arial" w:hAnsi="Arial" w:cs="Arial"/>
          <w:bCs/>
          <w:color w:val="1A1617"/>
          <w:sz w:val="28"/>
          <w:szCs w:val="28"/>
        </w:rPr>
        <w:t xml:space="preserve">која одговара редном броју тог </w:t>
      </w:r>
      <w:r w:rsidR="008541DD" w:rsidRPr="00545268">
        <w:rPr>
          <w:rFonts w:ascii="Arial" w:hAnsi="Arial" w:cs="Arial"/>
          <w:bCs/>
          <w:color w:val="1A1617"/>
          <w:sz w:val="28"/>
          <w:szCs w:val="28"/>
        </w:rPr>
        <w:t>бина</w:t>
      </w:r>
      <w:r w:rsidR="00125E08">
        <w:rPr>
          <w:rFonts w:ascii="Arial" w:hAnsi="Arial" w:cs="Arial"/>
          <w:bCs/>
          <w:color w:val="1A1617"/>
          <w:sz w:val="28"/>
          <w:szCs w:val="28"/>
        </w:rPr>
        <w:t xml:space="preserve">, посматрано са лева на десно (од најмањег ка највећем редном броју), 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тако да је вредност </w:t>
      </w:r>
      <w:proofErr w:type="spellStart"/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>дискретизованог</w:t>
      </w:r>
      <w:proofErr w:type="spellEnd"/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8541DD" w:rsidRPr="00545268">
        <w:rPr>
          <w:rFonts w:ascii="Arial" w:hAnsi="Arial" w:cs="Arial"/>
          <w:bCs/>
          <w:color w:val="1A1617"/>
          <w:sz w:val="28"/>
          <w:szCs w:val="28"/>
        </w:rPr>
        <w:t xml:space="preserve">индикатора 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дефинисана као </w:t>
      </w:r>
      <w:proofErr w:type="spellStart"/>
      <w:r w:rsidR="00443D3A" w:rsidRPr="00545268">
        <w:rPr>
          <w:rFonts w:ascii="Arial" w:hAnsi="Arial" w:cs="Arial"/>
          <w:b/>
          <w:color w:val="1A1617"/>
          <w:sz w:val="28"/>
          <w:szCs w:val="28"/>
          <w:lang w:val="en-US"/>
        </w:rPr>
        <w:t>I</w:t>
      </w:r>
      <w:r w:rsidR="0048659D" w:rsidRPr="00545268">
        <w:rPr>
          <w:rFonts w:ascii="Arial" w:hAnsi="Arial" w:cs="Arial"/>
          <w:b/>
          <w:color w:val="1A1617"/>
          <w:sz w:val="28"/>
          <w:szCs w:val="28"/>
          <w:vertAlign w:val="subscript"/>
          <w:lang w:val="en-US"/>
        </w:rPr>
        <w:t>ij</w:t>
      </w:r>
      <w:proofErr w:type="spellEnd"/>
      <w:r w:rsidR="0048659D" w:rsidRPr="00814F25">
        <w:rPr>
          <w:rFonts w:ascii="Arial" w:hAnsi="Arial" w:cs="Arial"/>
          <w:b/>
          <w:color w:val="1A1617"/>
          <w:sz w:val="28"/>
          <w:szCs w:val="28"/>
          <w:vertAlign w:val="subscript"/>
        </w:rPr>
        <w:t>,</w:t>
      </w:r>
      <w:r w:rsidR="0048659D" w:rsidRPr="00545268">
        <w:rPr>
          <w:rFonts w:ascii="Arial" w:hAnsi="Arial" w:cs="Arial"/>
          <w:b/>
          <w:color w:val="1A1617"/>
          <w:sz w:val="28"/>
          <w:szCs w:val="28"/>
          <w:vertAlign w:val="subscript"/>
          <w:lang w:val="en-US"/>
        </w:rPr>
        <w:t>n</w:t>
      </w:r>
      <w:r w:rsidR="0048659D" w:rsidRPr="00814F25">
        <w:rPr>
          <w:rFonts w:ascii="Arial" w:hAnsi="Arial" w:cs="Arial"/>
          <w:b/>
          <w:color w:val="1A1617"/>
          <w:sz w:val="28"/>
          <w:szCs w:val="28"/>
        </w:rPr>
        <w:t xml:space="preserve"> </w:t>
      </w:r>
      <w:r w:rsidR="00443D3A" w:rsidRPr="00814F25">
        <w:rPr>
          <w:rFonts w:ascii="Arial" w:hAnsi="Arial" w:cs="Arial"/>
          <w:b/>
          <w:color w:val="1A1617"/>
          <w:sz w:val="28"/>
          <w:szCs w:val="28"/>
        </w:rPr>
        <w:t>= 1,…,</w:t>
      </w:r>
      <w:proofErr w:type="spellStart"/>
      <w:r w:rsidR="00443D3A" w:rsidRPr="00545268">
        <w:rPr>
          <w:rFonts w:ascii="Arial" w:hAnsi="Arial" w:cs="Arial"/>
          <w:b/>
          <w:color w:val="1A1617"/>
          <w:sz w:val="28"/>
          <w:szCs w:val="28"/>
          <w:lang w:val="en-US"/>
        </w:rPr>
        <w:t>k</w:t>
      </w:r>
      <w:r w:rsidR="0048659D" w:rsidRPr="00545268">
        <w:rPr>
          <w:rFonts w:ascii="Arial" w:hAnsi="Arial" w:cs="Arial"/>
          <w:b/>
          <w:color w:val="1A1617"/>
          <w:sz w:val="28"/>
          <w:szCs w:val="28"/>
          <w:vertAlign w:val="subscript"/>
          <w:lang w:val="en-US"/>
        </w:rPr>
        <w:t>ij</w:t>
      </w:r>
      <w:proofErr w:type="spellEnd"/>
      <w:r w:rsidR="00443D3A" w:rsidRPr="00814F25">
        <w:rPr>
          <w:rFonts w:ascii="Arial" w:hAnsi="Arial" w:cs="Arial"/>
          <w:bCs/>
          <w:color w:val="1A1617"/>
          <w:sz w:val="28"/>
          <w:szCs w:val="28"/>
        </w:rPr>
        <w:t>.</w:t>
      </w:r>
    </w:p>
    <w:p w14:paraId="256C1329" w14:textId="77777777" w:rsidR="00125E08" w:rsidRDefault="00125E08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</w:p>
    <w:p w14:paraId="18C55014" w14:textId="4FEB83F9" w:rsidR="00F47AC3" w:rsidRDefault="0048091D" w:rsidP="00DF00F1">
      <w:pPr>
        <w:widowControl w:val="0"/>
        <w:spacing w:after="0" w:line="240" w:lineRule="auto"/>
        <w:jc w:val="both"/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D028F7">
        <w:rPr>
          <w:rFonts w:ascii="Arial" w:hAnsi="Arial" w:cs="Arial"/>
          <w:bCs/>
          <w:color w:val="1A1617"/>
          <w:sz w:val="28"/>
          <w:szCs w:val="28"/>
        </w:rPr>
        <w:t>5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F47AC3">
        <w:rPr>
          <w:rFonts w:ascii="Arial" w:hAnsi="Arial" w:cs="Arial"/>
          <w:bCs/>
          <w:color w:val="1A1617"/>
          <w:sz w:val="28"/>
          <w:szCs w:val="28"/>
        </w:rPr>
        <w:t xml:space="preserve">Поступак </w:t>
      </w:r>
      <w:proofErr w:type="spellStart"/>
      <w:r w:rsidR="00F47AC3">
        <w:rPr>
          <w:rFonts w:ascii="Arial" w:hAnsi="Arial" w:cs="Arial"/>
          <w:bCs/>
          <w:color w:val="1A1617"/>
          <w:sz w:val="28"/>
          <w:szCs w:val="28"/>
        </w:rPr>
        <w:t>дискретизације</w:t>
      </w:r>
      <w:proofErr w:type="spellEnd"/>
      <w:r w:rsidR="00F47AC3">
        <w:rPr>
          <w:rFonts w:ascii="Arial" w:hAnsi="Arial" w:cs="Arial"/>
          <w:bCs/>
          <w:color w:val="1A1617"/>
          <w:sz w:val="28"/>
          <w:szCs w:val="28"/>
        </w:rPr>
        <w:t xml:space="preserve"> из </w:t>
      </w:r>
      <w:proofErr w:type="spellStart"/>
      <w:r w:rsidR="00F47AC3">
        <w:rPr>
          <w:rFonts w:ascii="Arial" w:hAnsi="Arial" w:cs="Arial"/>
          <w:bCs/>
          <w:color w:val="1A1617"/>
          <w:sz w:val="28"/>
          <w:szCs w:val="28"/>
        </w:rPr>
        <w:t>тач</w:t>
      </w:r>
      <w:proofErr w:type="spellEnd"/>
      <w:r w:rsidR="00F47AC3">
        <w:rPr>
          <w:rFonts w:ascii="Arial" w:hAnsi="Arial" w:cs="Arial"/>
          <w:bCs/>
          <w:color w:val="1A1617"/>
          <w:sz w:val="28"/>
          <w:szCs w:val="28"/>
        </w:rPr>
        <w:t xml:space="preserve">. 2. до 4. овог </w:t>
      </w:r>
      <w:r w:rsidR="00D441B3">
        <w:rPr>
          <w:rFonts w:ascii="Arial" w:hAnsi="Arial" w:cs="Arial"/>
          <w:bCs/>
          <w:color w:val="1A1617"/>
          <w:sz w:val="28"/>
          <w:szCs w:val="28"/>
        </w:rPr>
        <w:t>п</w:t>
      </w:r>
      <w:r w:rsidR="00F47AC3">
        <w:rPr>
          <w:rFonts w:ascii="Arial" w:hAnsi="Arial" w:cs="Arial"/>
          <w:bCs/>
          <w:color w:val="1A1617"/>
          <w:sz w:val="28"/>
          <w:szCs w:val="28"/>
        </w:rPr>
        <w:t>рилога,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 примењује </w:t>
      </w:r>
      <w:r w:rsidR="00BD366C">
        <w:rPr>
          <w:rFonts w:ascii="Arial" w:hAnsi="Arial" w:cs="Arial"/>
          <w:bCs/>
          <w:color w:val="1A1617"/>
          <w:sz w:val="28"/>
          <w:szCs w:val="28"/>
        </w:rPr>
        <w:t>се</w:t>
      </w:r>
      <w:r w:rsidR="00D028F7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на </w:t>
      </w:r>
      <w:r w:rsidR="00BD366C">
        <w:rPr>
          <w:rFonts w:ascii="Arial" w:hAnsi="Arial" w:cs="Arial"/>
          <w:bCs/>
          <w:color w:val="1A1617"/>
          <w:sz w:val="28"/>
          <w:szCs w:val="28"/>
        </w:rPr>
        <w:t xml:space="preserve">додатне </w:t>
      </w:r>
      <w:r w:rsidR="00D840FD" w:rsidRPr="00545268">
        <w:rPr>
          <w:rFonts w:ascii="Arial" w:hAnsi="Arial" w:cs="Arial"/>
          <w:bCs/>
          <w:color w:val="1A1617"/>
          <w:sz w:val="28"/>
          <w:szCs w:val="28"/>
        </w:rPr>
        <w:t>индикаторе ризика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D028F7">
        <w:rPr>
          <w:rFonts w:ascii="Arial" w:hAnsi="Arial" w:cs="Arial"/>
          <w:bCs/>
          <w:color w:val="1A1617"/>
          <w:sz w:val="28"/>
          <w:szCs w:val="28"/>
        </w:rPr>
        <w:t xml:space="preserve">које 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одређује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 Народна банка Србије</w:t>
      </w:r>
      <w:r w:rsidR="00BD366C">
        <w:rPr>
          <w:rFonts w:ascii="Arial" w:hAnsi="Arial" w:cs="Arial"/>
          <w:bCs/>
          <w:color w:val="1A1617"/>
          <w:sz w:val="28"/>
          <w:szCs w:val="28"/>
        </w:rPr>
        <w:t>,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BD366C">
        <w:rPr>
          <w:rFonts w:ascii="Arial" w:hAnsi="Arial" w:cs="Arial"/>
          <w:bCs/>
          <w:color w:val="1A1617"/>
          <w:sz w:val="28"/>
          <w:szCs w:val="28"/>
        </w:rPr>
        <w:t xml:space="preserve">само ако 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утврди </w:t>
      </w:r>
      <w:r w:rsidR="00BD366C">
        <w:rPr>
          <w:rFonts w:ascii="Arial" w:hAnsi="Arial" w:cs="Arial"/>
          <w:bCs/>
          <w:color w:val="1A1617"/>
          <w:sz w:val="28"/>
          <w:szCs w:val="28"/>
        </w:rPr>
        <w:t>да су ови индикатори</w:t>
      </w:r>
      <w:r w:rsidR="00443D3A" w:rsidRPr="00545268">
        <w:rPr>
          <w:rFonts w:ascii="Arial" w:hAnsi="Arial" w:cs="Arial"/>
          <w:bCs/>
          <w:color w:val="1A1617"/>
          <w:sz w:val="28"/>
          <w:szCs w:val="28"/>
        </w:rPr>
        <w:t xml:space="preserve"> континуиране променљиве.</w:t>
      </w:r>
      <w:r w:rsidR="00835465" w:rsidRPr="00835465">
        <w:t xml:space="preserve"> </w:t>
      </w:r>
    </w:p>
    <w:p w14:paraId="649DD579" w14:textId="77777777" w:rsidR="00F47AC3" w:rsidRDefault="00F47AC3" w:rsidP="00DF00F1">
      <w:pPr>
        <w:widowControl w:val="0"/>
        <w:spacing w:after="0" w:line="240" w:lineRule="auto"/>
        <w:jc w:val="both"/>
      </w:pPr>
    </w:p>
    <w:p w14:paraId="1613645E" w14:textId="77777777" w:rsidR="00443D3A" w:rsidRPr="00545268" w:rsidRDefault="00F47AC3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835465">
        <w:rPr>
          <w:rFonts w:ascii="Arial" w:hAnsi="Arial" w:cs="Arial"/>
          <w:bCs/>
          <w:color w:val="1A1617"/>
          <w:sz w:val="28"/>
          <w:szCs w:val="28"/>
        </w:rPr>
        <w:t>Ин</w:t>
      </w:r>
      <w:r w:rsidR="00835465" w:rsidRPr="00835465">
        <w:rPr>
          <w:rFonts w:ascii="Arial" w:hAnsi="Arial" w:cs="Arial"/>
          <w:bCs/>
          <w:color w:val="1A1617"/>
          <w:sz w:val="28"/>
          <w:szCs w:val="28"/>
        </w:rPr>
        <w:t>дикатор обим претходног коришћења ванредне финансијске подршке</w:t>
      </w:r>
      <w:r w:rsidR="00835465">
        <w:rPr>
          <w:rFonts w:ascii="Arial" w:hAnsi="Arial" w:cs="Arial"/>
          <w:bCs/>
          <w:color w:val="1A1617"/>
          <w:sz w:val="28"/>
          <w:szCs w:val="28"/>
        </w:rPr>
        <w:t xml:space="preserve"> не сматра се континуираном променљивом.</w:t>
      </w:r>
    </w:p>
    <w:p w14:paraId="00FE22B9" w14:textId="77777777" w:rsidR="00443D3A" w:rsidRPr="00545268" w:rsidRDefault="00443D3A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</w:p>
    <w:p w14:paraId="3086CC01" w14:textId="4C0028D7" w:rsidR="00443D3A" w:rsidRPr="00545268" w:rsidRDefault="00C12514" w:rsidP="00DF00F1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hAnsi="Arial" w:cs="Arial"/>
          <w:b/>
          <w:color w:val="1A1617"/>
          <w:sz w:val="28"/>
          <w:szCs w:val="28"/>
        </w:rPr>
      </w:pPr>
      <w:proofErr w:type="spellStart"/>
      <w:r w:rsidRPr="00545268">
        <w:rPr>
          <w:rFonts w:ascii="Arial" w:hAnsi="Arial" w:cs="Arial"/>
          <w:b/>
          <w:color w:val="1A1617"/>
          <w:sz w:val="28"/>
          <w:szCs w:val="28"/>
        </w:rPr>
        <w:t>Р</w:t>
      </w:r>
      <w:r w:rsidR="00244062">
        <w:rPr>
          <w:rFonts w:ascii="Arial" w:hAnsi="Arial" w:cs="Arial"/>
          <w:b/>
          <w:color w:val="1A1617"/>
          <w:sz w:val="28"/>
          <w:szCs w:val="28"/>
        </w:rPr>
        <w:t>ескалирање</w:t>
      </w:r>
      <w:proofErr w:type="spellEnd"/>
      <w:r w:rsidRPr="00545268">
        <w:rPr>
          <w:rFonts w:ascii="Arial" w:hAnsi="Arial" w:cs="Arial"/>
          <w:b/>
          <w:color w:val="1A1617"/>
          <w:sz w:val="28"/>
          <w:szCs w:val="28"/>
        </w:rPr>
        <w:t xml:space="preserve"> </w:t>
      </w:r>
      <w:r w:rsidR="00D840FD" w:rsidRPr="00545268">
        <w:rPr>
          <w:rFonts w:ascii="Arial" w:hAnsi="Arial" w:cs="Arial"/>
          <w:b/>
          <w:color w:val="1A1617"/>
          <w:sz w:val="28"/>
          <w:szCs w:val="28"/>
        </w:rPr>
        <w:t>индикатора</w:t>
      </w:r>
      <w:r w:rsidR="00443D3A" w:rsidRPr="00545268">
        <w:rPr>
          <w:rFonts w:ascii="Arial" w:hAnsi="Arial" w:cs="Arial"/>
          <w:b/>
          <w:color w:val="1A1617"/>
          <w:sz w:val="28"/>
          <w:szCs w:val="28"/>
        </w:rPr>
        <w:t xml:space="preserve"> </w:t>
      </w:r>
    </w:p>
    <w:p w14:paraId="3E4D1011" w14:textId="77777777" w:rsidR="00C12514" w:rsidRPr="00545268" w:rsidRDefault="00C12514" w:rsidP="00DF00F1">
      <w:pPr>
        <w:widowControl w:val="0"/>
        <w:spacing w:after="0" w:line="240" w:lineRule="auto"/>
        <w:jc w:val="center"/>
        <w:rPr>
          <w:rFonts w:ascii="Arial" w:hAnsi="Arial" w:cs="Arial"/>
          <w:b/>
          <w:color w:val="1A1617"/>
          <w:sz w:val="28"/>
          <w:szCs w:val="28"/>
        </w:rPr>
      </w:pPr>
    </w:p>
    <w:p w14:paraId="2D6E2904" w14:textId="4E23C6C3" w:rsidR="00C12514" w:rsidRPr="00545268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D028F7">
        <w:rPr>
          <w:rFonts w:ascii="Arial" w:hAnsi="Arial" w:cs="Arial"/>
          <w:bCs/>
          <w:color w:val="1A1617"/>
          <w:sz w:val="28"/>
          <w:szCs w:val="28"/>
        </w:rPr>
        <w:t>6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D028F7">
        <w:rPr>
          <w:rFonts w:ascii="Arial" w:hAnsi="Arial" w:cs="Arial"/>
          <w:bCs/>
          <w:color w:val="1A1617"/>
          <w:sz w:val="28"/>
          <w:szCs w:val="28"/>
        </w:rPr>
        <w:t>С</w:t>
      </w:r>
      <w:r w:rsidR="00C12514" w:rsidRPr="00545268">
        <w:rPr>
          <w:rFonts w:ascii="Arial" w:hAnsi="Arial" w:cs="Arial"/>
          <w:bCs/>
          <w:color w:val="1A1617"/>
          <w:sz w:val="28"/>
          <w:szCs w:val="28"/>
        </w:rPr>
        <w:t xml:space="preserve">ваки </w:t>
      </w:r>
      <w:r w:rsidR="002D7C7A">
        <w:rPr>
          <w:rFonts w:ascii="Arial" w:hAnsi="Arial" w:cs="Arial"/>
          <w:bCs/>
          <w:color w:val="1A1617"/>
          <w:sz w:val="28"/>
          <w:szCs w:val="28"/>
        </w:rPr>
        <w:t xml:space="preserve">од </w:t>
      </w:r>
      <w:proofErr w:type="spellStart"/>
      <w:r w:rsidR="00D028F7">
        <w:rPr>
          <w:rFonts w:ascii="Arial" w:hAnsi="Arial" w:cs="Arial"/>
          <w:bCs/>
          <w:color w:val="1A1617"/>
          <w:sz w:val="28"/>
          <w:szCs w:val="28"/>
        </w:rPr>
        <w:t>дискретизованих</w:t>
      </w:r>
      <w:proofErr w:type="spellEnd"/>
      <w:r w:rsidR="00D028F7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D840FD" w:rsidRPr="00545268">
        <w:rPr>
          <w:rFonts w:ascii="Arial" w:hAnsi="Arial" w:cs="Arial"/>
          <w:bCs/>
          <w:color w:val="1A1617"/>
          <w:sz w:val="28"/>
          <w:szCs w:val="28"/>
        </w:rPr>
        <w:t>индикатор</w:t>
      </w:r>
      <w:r w:rsidR="002D7C7A">
        <w:rPr>
          <w:rFonts w:ascii="Arial" w:hAnsi="Arial" w:cs="Arial"/>
          <w:bCs/>
          <w:color w:val="1A1617"/>
          <w:sz w:val="28"/>
          <w:szCs w:val="28"/>
        </w:rPr>
        <w:t>а</w:t>
      </w:r>
      <w:r w:rsidR="00D840FD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244062">
        <w:rPr>
          <w:rFonts w:ascii="Arial" w:hAnsi="Arial" w:cs="Arial"/>
          <w:bCs/>
          <w:color w:val="1A1617"/>
          <w:sz w:val="28"/>
          <w:szCs w:val="28"/>
        </w:rPr>
        <w:t>(</w:t>
      </w:r>
      <w:r w:rsidR="00244062" w:rsidRPr="00814F25">
        <w:rPr>
          <w:rFonts w:ascii="Arial" w:hAnsi="Arial" w:cs="Arial"/>
          <w:b/>
          <w:i/>
          <w:iCs/>
          <w:color w:val="1A1617"/>
          <w:sz w:val="28"/>
          <w:szCs w:val="28"/>
        </w:rPr>
        <w:t>I</w:t>
      </w:r>
      <w:proofErr w:type="spellStart"/>
      <w:r w:rsidR="00244062" w:rsidRPr="00814F25">
        <w:rPr>
          <w:rFonts w:ascii="Arial" w:hAnsi="Arial" w:cs="Arial"/>
          <w:b/>
          <w:i/>
          <w:iCs/>
          <w:color w:val="1A1617"/>
          <w:sz w:val="28"/>
          <w:szCs w:val="28"/>
          <w:vertAlign w:val="subscript"/>
          <w:lang w:val="sr-Latn-RS"/>
        </w:rPr>
        <w:t>ij</w:t>
      </w:r>
      <w:proofErr w:type="spellEnd"/>
      <w:r w:rsidR="00244062">
        <w:rPr>
          <w:rFonts w:ascii="Arial" w:hAnsi="Arial" w:cs="Arial"/>
          <w:bCs/>
          <w:color w:val="1A1617"/>
          <w:sz w:val="28"/>
          <w:szCs w:val="28"/>
        </w:rPr>
        <w:t xml:space="preserve">) </w:t>
      </w:r>
      <w:r w:rsidR="00D028F7">
        <w:rPr>
          <w:rFonts w:ascii="Arial" w:hAnsi="Arial" w:cs="Arial"/>
          <w:bCs/>
          <w:color w:val="1A1617"/>
          <w:sz w:val="28"/>
          <w:szCs w:val="28"/>
        </w:rPr>
        <w:t xml:space="preserve">израчунат у складу са </w:t>
      </w:r>
      <w:r w:rsidR="00705ABB">
        <w:rPr>
          <w:rFonts w:ascii="Arial" w:hAnsi="Arial" w:cs="Arial"/>
          <w:bCs/>
          <w:color w:val="1A1617"/>
          <w:sz w:val="28"/>
          <w:szCs w:val="28"/>
        </w:rPr>
        <w:t>делом</w:t>
      </w:r>
      <w:r w:rsidR="00705ABB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C12514" w:rsidRPr="00545268">
        <w:rPr>
          <w:rFonts w:ascii="Arial" w:hAnsi="Arial" w:cs="Arial"/>
          <w:bCs/>
          <w:color w:val="1A1617"/>
          <w:sz w:val="28"/>
          <w:szCs w:val="28"/>
        </w:rPr>
        <w:t>2</w:t>
      </w:r>
      <w:r w:rsidR="00D028F7">
        <w:rPr>
          <w:rFonts w:ascii="Arial" w:hAnsi="Arial" w:cs="Arial"/>
          <w:bCs/>
          <w:color w:val="1A1617"/>
          <w:sz w:val="28"/>
          <w:szCs w:val="28"/>
        </w:rPr>
        <w:t>. овог</w:t>
      </w:r>
      <w:r w:rsidR="00C12514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D441B3">
        <w:rPr>
          <w:rFonts w:ascii="Arial" w:hAnsi="Arial" w:cs="Arial"/>
          <w:bCs/>
          <w:color w:val="1A1617"/>
          <w:sz w:val="28"/>
          <w:szCs w:val="28"/>
        </w:rPr>
        <w:t>п</w:t>
      </w:r>
      <w:r w:rsidR="00C12514" w:rsidRPr="00545268">
        <w:rPr>
          <w:rFonts w:ascii="Arial" w:hAnsi="Arial" w:cs="Arial"/>
          <w:bCs/>
          <w:color w:val="1A1617"/>
          <w:sz w:val="28"/>
          <w:szCs w:val="28"/>
        </w:rPr>
        <w:t xml:space="preserve">рилога, </w:t>
      </w:r>
      <w:proofErr w:type="spellStart"/>
      <w:r w:rsidR="00244062">
        <w:rPr>
          <w:rFonts w:ascii="Arial" w:hAnsi="Arial" w:cs="Arial"/>
          <w:bCs/>
          <w:color w:val="1A1617"/>
          <w:sz w:val="28"/>
          <w:szCs w:val="28"/>
        </w:rPr>
        <w:t>рескалира</w:t>
      </w:r>
      <w:proofErr w:type="spellEnd"/>
      <w:r w:rsidR="00244062">
        <w:rPr>
          <w:rFonts w:ascii="Arial" w:hAnsi="Arial" w:cs="Arial"/>
          <w:bCs/>
          <w:color w:val="1A1617"/>
          <w:sz w:val="28"/>
          <w:szCs w:val="28"/>
        </w:rPr>
        <w:t xml:space="preserve"> се </w:t>
      </w:r>
      <w:r w:rsidR="00C12514" w:rsidRPr="00545268">
        <w:rPr>
          <w:rFonts w:ascii="Arial" w:hAnsi="Arial" w:cs="Arial"/>
          <w:bCs/>
          <w:color w:val="1A1617"/>
          <w:sz w:val="28"/>
          <w:szCs w:val="28"/>
        </w:rPr>
        <w:t>унутар распона 1 – 1000</w:t>
      </w:r>
      <w:r w:rsidR="00D840FD" w:rsidRPr="00545268">
        <w:rPr>
          <w:rFonts w:ascii="Arial" w:hAnsi="Arial" w:cs="Arial"/>
          <w:bCs/>
          <w:color w:val="1A1617"/>
          <w:sz w:val="28"/>
          <w:szCs w:val="28"/>
        </w:rPr>
        <w:t>,</w:t>
      </w:r>
      <w:r w:rsidR="00C12514" w:rsidRPr="00545268">
        <w:rPr>
          <w:rFonts w:ascii="Arial" w:hAnsi="Arial" w:cs="Arial"/>
          <w:bCs/>
          <w:color w:val="1A1617"/>
          <w:sz w:val="28"/>
          <w:szCs w:val="28"/>
        </w:rPr>
        <w:t xml:space="preserve"> применом следеће формуле:</w:t>
      </w:r>
    </w:p>
    <w:p w14:paraId="76284F86" w14:textId="77777777" w:rsidR="00C12514" w:rsidRPr="00DF00F1" w:rsidRDefault="00C12514" w:rsidP="00DF00F1">
      <w:pPr>
        <w:widowControl w:val="0"/>
        <w:spacing w:after="0" w:line="240" w:lineRule="auto"/>
        <w:rPr>
          <w:rFonts w:ascii="Arial" w:hAnsi="Arial" w:cs="Arial"/>
          <w:b/>
          <w:color w:val="1A1617"/>
          <w:sz w:val="16"/>
          <w:szCs w:val="16"/>
        </w:rPr>
      </w:pPr>
    </w:p>
    <w:p w14:paraId="037FB60E" w14:textId="6DDF6EC7" w:rsidR="001F6FE0" w:rsidRPr="00545268" w:rsidRDefault="00C809AA" w:rsidP="00DF00F1">
      <w:pPr>
        <w:widowControl w:val="0"/>
        <w:spacing w:after="0" w:line="240" w:lineRule="auto"/>
        <w:jc w:val="center"/>
        <w:rPr>
          <w:rFonts w:ascii="Arial" w:hAnsi="Arial" w:cs="Arial"/>
          <w:b/>
          <w:color w:val="1A1617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010633A" wp14:editId="598F69EC">
            <wp:extent cx="5760720" cy="597535"/>
            <wp:effectExtent l="0" t="0" r="0" b="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7D9A0" w14:textId="245B2EA2" w:rsidR="001F6FE0" w:rsidRPr="00545268" w:rsidRDefault="001F6FE0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45268">
        <w:rPr>
          <w:rFonts w:ascii="Arial" w:hAnsi="Arial" w:cs="Arial"/>
          <w:sz w:val="28"/>
          <w:szCs w:val="28"/>
        </w:rPr>
        <w:t xml:space="preserve">где су аргументи минималне и максималне функције вредности свих банака које уплаћују доприносе у Фонд за које се обрачунава </w:t>
      </w:r>
      <w:r w:rsidR="00244062">
        <w:rPr>
          <w:rFonts w:ascii="Arial" w:hAnsi="Arial" w:cs="Arial"/>
          <w:sz w:val="28"/>
          <w:szCs w:val="28"/>
        </w:rPr>
        <w:t>индикатор</w:t>
      </w:r>
      <w:r w:rsidRPr="00545268">
        <w:rPr>
          <w:rFonts w:ascii="Arial" w:hAnsi="Arial" w:cs="Arial"/>
          <w:sz w:val="28"/>
          <w:szCs w:val="28"/>
        </w:rPr>
        <w:t>.</w:t>
      </w:r>
    </w:p>
    <w:p w14:paraId="71E4C536" w14:textId="77777777" w:rsidR="001F6FE0" w:rsidRPr="00545268" w:rsidRDefault="001F6FE0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06E8CA5" w14:textId="5918BF3D" w:rsidR="001F6FE0" w:rsidRPr="00545268" w:rsidRDefault="001F6FE0" w:rsidP="00DF00F1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hAnsi="Arial" w:cs="Arial"/>
          <w:b/>
          <w:color w:val="1A1617"/>
          <w:sz w:val="28"/>
          <w:szCs w:val="28"/>
        </w:rPr>
      </w:pPr>
      <w:r w:rsidRPr="00545268">
        <w:rPr>
          <w:rFonts w:ascii="Arial" w:hAnsi="Arial" w:cs="Arial"/>
          <w:b/>
          <w:color w:val="1A1617"/>
          <w:sz w:val="28"/>
          <w:szCs w:val="28"/>
        </w:rPr>
        <w:t xml:space="preserve">Укључивање </w:t>
      </w:r>
      <w:r w:rsidR="008541DD" w:rsidRPr="00545268">
        <w:rPr>
          <w:rFonts w:ascii="Arial" w:hAnsi="Arial" w:cs="Arial"/>
          <w:b/>
          <w:color w:val="1A1617"/>
          <w:sz w:val="28"/>
          <w:szCs w:val="28"/>
        </w:rPr>
        <w:t>одговарајућег</w:t>
      </w:r>
      <w:r w:rsidRPr="00545268">
        <w:rPr>
          <w:rFonts w:ascii="Arial" w:hAnsi="Arial" w:cs="Arial"/>
          <w:b/>
          <w:color w:val="1A1617"/>
          <w:sz w:val="28"/>
          <w:szCs w:val="28"/>
        </w:rPr>
        <w:t xml:space="preserve"> предзнака </w:t>
      </w:r>
    </w:p>
    <w:p w14:paraId="5C1682A9" w14:textId="77777777" w:rsidR="001F6FE0" w:rsidRPr="00DF00F1" w:rsidRDefault="001F6FE0" w:rsidP="00DF00F1">
      <w:pPr>
        <w:widowControl w:val="0"/>
        <w:spacing w:after="0" w:line="240" w:lineRule="auto"/>
        <w:jc w:val="center"/>
        <w:rPr>
          <w:rFonts w:ascii="Arial" w:hAnsi="Arial" w:cs="Arial"/>
          <w:b/>
          <w:color w:val="1A1617"/>
          <w:sz w:val="16"/>
          <w:szCs w:val="16"/>
        </w:rPr>
      </w:pPr>
    </w:p>
    <w:p w14:paraId="669F7CD0" w14:textId="158C4914" w:rsidR="001F6FE0" w:rsidRPr="00545268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D028F7">
        <w:rPr>
          <w:rFonts w:ascii="Arial" w:hAnsi="Arial" w:cs="Arial"/>
          <w:bCs/>
          <w:color w:val="1A1617"/>
          <w:sz w:val="28"/>
          <w:szCs w:val="28"/>
        </w:rPr>
        <w:t>7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D028F7">
        <w:rPr>
          <w:rFonts w:ascii="Arial" w:hAnsi="Arial" w:cs="Arial"/>
          <w:bCs/>
          <w:color w:val="1A1617"/>
          <w:sz w:val="28"/>
          <w:szCs w:val="28"/>
        </w:rPr>
        <w:t>За потребе трансформације, н</w:t>
      </w:r>
      <w:r w:rsidR="00D028F7" w:rsidRPr="00545268">
        <w:rPr>
          <w:rFonts w:ascii="Arial" w:hAnsi="Arial" w:cs="Arial"/>
          <w:bCs/>
          <w:color w:val="1A1617"/>
          <w:sz w:val="28"/>
          <w:szCs w:val="28"/>
        </w:rPr>
        <w:t xml:space="preserve">а </w:t>
      </w:r>
      <w:r w:rsidR="001F6FE0" w:rsidRPr="00545268">
        <w:rPr>
          <w:rFonts w:ascii="Arial" w:hAnsi="Arial" w:cs="Arial"/>
          <w:bCs/>
          <w:color w:val="1A1617"/>
          <w:sz w:val="28"/>
          <w:szCs w:val="28"/>
        </w:rPr>
        <w:t>појединачне индикаторе ризика примењуј</w:t>
      </w:r>
      <w:r w:rsidR="00D028F7">
        <w:rPr>
          <w:rFonts w:ascii="Arial" w:hAnsi="Arial" w:cs="Arial"/>
          <w:bCs/>
          <w:color w:val="1A1617"/>
          <w:sz w:val="28"/>
          <w:szCs w:val="28"/>
        </w:rPr>
        <w:t>у</w:t>
      </w:r>
      <w:r w:rsidR="001F6FE0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D028F7">
        <w:rPr>
          <w:rFonts w:ascii="Arial" w:hAnsi="Arial" w:cs="Arial"/>
          <w:bCs/>
          <w:color w:val="1A1617"/>
          <w:sz w:val="28"/>
          <w:szCs w:val="28"/>
        </w:rPr>
        <w:t xml:space="preserve">се </w:t>
      </w:r>
      <w:r w:rsidR="001F6FE0" w:rsidRPr="00545268">
        <w:rPr>
          <w:rFonts w:ascii="Arial" w:hAnsi="Arial" w:cs="Arial"/>
          <w:bCs/>
          <w:color w:val="1A1617"/>
          <w:sz w:val="28"/>
          <w:szCs w:val="28"/>
        </w:rPr>
        <w:t>следећ</w:t>
      </w:r>
      <w:r w:rsidR="00D028F7">
        <w:rPr>
          <w:rFonts w:ascii="Arial" w:hAnsi="Arial" w:cs="Arial"/>
          <w:bCs/>
          <w:color w:val="1A1617"/>
          <w:sz w:val="28"/>
          <w:szCs w:val="28"/>
        </w:rPr>
        <w:t>и</w:t>
      </w:r>
      <w:r w:rsidR="001F6FE0" w:rsidRPr="00545268">
        <w:rPr>
          <w:rFonts w:ascii="Arial" w:hAnsi="Arial" w:cs="Arial"/>
          <w:bCs/>
          <w:color w:val="1A1617"/>
          <w:sz w:val="28"/>
          <w:szCs w:val="28"/>
        </w:rPr>
        <w:t xml:space="preserve"> предзна</w:t>
      </w:r>
      <w:r w:rsidR="00D028F7">
        <w:rPr>
          <w:rFonts w:ascii="Arial" w:hAnsi="Arial" w:cs="Arial"/>
          <w:bCs/>
          <w:color w:val="1A1617"/>
          <w:sz w:val="28"/>
          <w:szCs w:val="28"/>
        </w:rPr>
        <w:t>ци</w:t>
      </w:r>
      <w:r w:rsidR="001F6FE0" w:rsidRPr="00545268">
        <w:rPr>
          <w:rFonts w:ascii="Arial" w:hAnsi="Arial" w:cs="Arial"/>
          <w:bCs/>
          <w:color w:val="1A1617"/>
          <w:sz w:val="28"/>
          <w:szCs w:val="28"/>
        </w:rPr>
        <w:t>:</w:t>
      </w:r>
    </w:p>
    <w:p w14:paraId="0F84153A" w14:textId="77777777" w:rsidR="001F6FE0" w:rsidRPr="00545268" w:rsidRDefault="001F6FE0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3074"/>
        <w:gridCol w:w="3074"/>
      </w:tblGrid>
      <w:tr w:rsidR="001F6FE0" w:rsidRPr="004A35C2" w14:paraId="4891DCAE" w14:textId="77777777" w:rsidTr="004A35C2">
        <w:trPr>
          <w:trHeight w:val="661"/>
        </w:trPr>
        <w:tc>
          <w:tcPr>
            <w:tcW w:w="2539" w:type="dxa"/>
            <w:shd w:val="clear" w:color="auto" w:fill="auto"/>
            <w:vAlign w:val="center"/>
          </w:tcPr>
          <w:p w14:paraId="592F077E" w14:textId="77777777" w:rsidR="001F6FE0" w:rsidRPr="004A35C2" w:rsidRDefault="001F6FE0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Категорија ризика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7C3F5A2A" w14:textId="77777777" w:rsidR="001F6FE0" w:rsidRPr="004A35C2" w:rsidRDefault="001F6FE0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Индикатор ризика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257304F4" w14:textId="77777777" w:rsidR="001F6FE0" w:rsidRPr="004A35C2" w:rsidRDefault="001F6FE0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Предзнак</w:t>
            </w:r>
          </w:p>
        </w:tc>
      </w:tr>
      <w:tr w:rsidR="00AF2ADA" w:rsidRPr="004A35C2" w14:paraId="05BA3D44" w14:textId="77777777" w:rsidTr="004A35C2">
        <w:trPr>
          <w:trHeight w:val="330"/>
        </w:trPr>
        <w:tc>
          <w:tcPr>
            <w:tcW w:w="2539" w:type="dxa"/>
            <w:vMerge w:val="restart"/>
            <w:shd w:val="clear" w:color="auto" w:fill="auto"/>
            <w:vAlign w:val="center"/>
          </w:tcPr>
          <w:p w14:paraId="1ECBE976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Изложеност ризику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0FC81D13" w14:textId="1DDF33AB" w:rsidR="00AF2ADA" w:rsidRPr="004A35C2" w:rsidRDefault="00B70E51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в</w:t>
            </w:r>
            <w:r w:rsidR="00AF2ADA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ишак средстава изнад МКО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0B102724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-</w:t>
            </w:r>
          </w:p>
        </w:tc>
      </w:tr>
      <w:tr w:rsidR="00AF2ADA" w:rsidRPr="004A35C2" w14:paraId="1A8CECA2" w14:textId="77777777" w:rsidTr="004A35C2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54CCFB1F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shd w:val="clear" w:color="auto" w:fill="auto"/>
            <w:vAlign w:val="center"/>
          </w:tcPr>
          <w:p w14:paraId="56CAAE8D" w14:textId="5307D407" w:rsidR="00AF2ADA" w:rsidRPr="004A35C2" w:rsidRDefault="00B70E51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л</w:t>
            </w:r>
            <w:r w:rsidR="00AF2ADA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евериџ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38972C58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-</w:t>
            </w:r>
          </w:p>
        </w:tc>
      </w:tr>
      <w:tr w:rsidR="00AF2ADA" w:rsidRPr="004A35C2" w14:paraId="6111A9B6" w14:textId="77777777" w:rsidTr="004A35C2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2B5ED353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shd w:val="clear" w:color="auto" w:fill="auto"/>
            <w:vAlign w:val="center"/>
          </w:tcPr>
          <w:p w14:paraId="6FDDF423" w14:textId="2DC87403" w:rsidR="00AF2ADA" w:rsidRPr="002D7C7A" w:rsidRDefault="00244062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СЕТ1 п</w:t>
            </w:r>
            <w:r w:rsidR="00AF2ADA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оказатељ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30EBCC84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-</w:t>
            </w:r>
          </w:p>
        </w:tc>
      </w:tr>
      <w:tr w:rsidR="00AF2ADA" w:rsidRPr="004A35C2" w14:paraId="39AE5769" w14:textId="77777777" w:rsidTr="004A35C2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7DA88913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shd w:val="clear" w:color="auto" w:fill="auto"/>
            <w:vAlign w:val="center"/>
          </w:tcPr>
          <w:p w14:paraId="459F9590" w14:textId="65632B0D" w:rsidR="00AF2ADA" w:rsidRPr="004A35C2" w:rsidRDefault="00244062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sr-Latn-RS"/>
              </w:rPr>
              <w:t>TRE</w:t>
            </w:r>
            <w:r w:rsidR="00B70E51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/</w:t>
            </w:r>
            <w:r w:rsidR="00AF2ADA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укупн</w:t>
            </w:r>
            <w:r w:rsidR="00B70E51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а</w:t>
            </w:r>
            <w:r w:rsidR="00AF2ADA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актив</w:t>
            </w:r>
            <w:r w:rsidR="00B70E51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а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1639924D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+</w:t>
            </w:r>
          </w:p>
        </w:tc>
      </w:tr>
      <w:tr w:rsidR="00AF2ADA" w:rsidRPr="004A35C2" w14:paraId="4A14D9EC" w14:textId="77777777" w:rsidTr="004A35C2">
        <w:trPr>
          <w:trHeight w:val="330"/>
        </w:trPr>
        <w:tc>
          <w:tcPr>
            <w:tcW w:w="2539" w:type="dxa"/>
            <w:vMerge w:val="restart"/>
            <w:shd w:val="clear" w:color="auto" w:fill="auto"/>
            <w:vAlign w:val="center"/>
          </w:tcPr>
          <w:p w14:paraId="705C1CE6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sr-Cyrl-CS"/>
              </w:rPr>
              <w:t>Стабилност извора финансирања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18CDA7E1" w14:textId="0B75BC87" w:rsidR="00AF2ADA" w:rsidRPr="004A35C2" w:rsidRDefault="00244062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sr-Latn-RS"/>
              </w:rPr>
              <w:t>NSFR</w:t>
            </w:r>
            <w:r w:rsidR="00AF2ADA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24AE3430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-</w:t>
            </w:r>
          </w:p>
        </w:tc>
      </w:tr>
      <w:tr w:rsidR="00AF2ADA" w:rsidRPr="004A35C2" w14:paraId="5B01747F" w14:textId="77777777" w:rsidTr="004A35C2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1CF90D53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shd w:val="clear" w:color="auto" w:fill="auto"/>
            <w:vAlign w:val="center"/>
          </w:tcPr>
          <w:p w14:paraId="1980F3C9" w14:textId="0A56FE98" w:rsidR="00AF2ADA" w:rsidRPr="004A35C2" w:rsidRDefault="00244062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sr-Latn-RS"/>
              </w:rPr>
              <w:t>LCR</w:t>
            </w:r>
            <w:r w:rsidR="00AF2ADA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03151634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-</w:t>
            </w:r>
          </w:p>
        </w:tc>
      </w:tr>
      <w:tr w:rsidR="00AF2ADA" w:rsidRPr="004A35C2" w14:paraId="5D87DD19" w14:textId="77777777" w:rsidTr="004A35C2">
        <w:trPr>
          <w:trHeight w:val="330"/>
        </w:trPr>
        <w:tc>
          <w:tcPr>
            <w:tcW w:w="2539" w:type="dxa"/>
            <w:shd w:val="clear" w:color="auto" w:fill="auto"/>
            <w:vAlign w:val="center"/>
          </w:tcPr>
          <w:p w14:paraId="61DF2166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Значај банке за стабилност финансијског система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48114129" w14:textId="3C6A959B" w:rsidR="00AF2ADA" w:rsidRPr="004A35C2" w:rsidRDefault="00B70E51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у</w:t>
            </w:r>
            <w:r w:rsidR="00AF2ADA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чешће банке у међубанкарским кредитима и депозитима 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58FDAC71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  <w:p w14:paraId="16CD5022" w14:textId="77777777" w:rsidR="00AF2ADA" w:rsidRPr="004A35C2" w:rsidRDefault="00AF2ADA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+</w:t>
            </w:r>
          </w:p>
        </w:tc>
      </w:tr>
      <w:tr w:rsidR="007440FD" w:rsidRPr="004A35C2" w14:paraId="5ADF600C" w14:textId="77777777" w:rsidTr="00814F25">
        <w:trPr>
          <w:trHeight w:val="330"/>
        </w:trPr>
        <w:tc>
          <w:tcPr>
            <w:tcW w:w="2539" w:type="dxa"/>
            <w:vMerge w:val="restart"/>
            <w:shd w:val="clear" w:color="auto" w:fill="auto"/>
            <w:vAlign w:val="center"/>
          </w:tcPr>
          <w:p w14:paraId="403A037D" w14:textId="77777777" w:rsidR="007440FD" w:rsidRPr="004A35C2" w:rsidRDefault="007440FD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Додатни индикатори ризика</w:t>
            </w:r>
          </w:p>
        </w:tc>
        <w:tc>
          <w:tcPr>
            <w:tcW w:w="3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4B279" w14:textId="77777777" w:rsidR="007440FD" w:rsidRPr="004A35C2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учешће портфолија трговања у укупној активи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255F7A31" w14:textId="77777777" w:rsidR="007440FD" w:rsidRPr="004A35C2" w:rsidRDefault="007440FD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645933">
              <w:rPr>
                <w:rFonts w:ascii="Arial" w:hAnsi="Arial" w:cs="Arial"/>
                <w:b/>
                <w:color w:val="1A1617"/>
                <w:sz w:val="24"/>
                <w:szCs w:val="24"/>
              </w:rPr>
              <w:t>+</w:t>
            </w:r>
          </w:p>
        </w:tc>
      </w:tr>
      <w:tr w:rsidR="007440FD" w:rsidRPr="004A35C2" w14:paraId="18D62752" w14:textId="77777777" w:rsidTr="00814F25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467499AE" w14:textId="77777777" w:rsidR="007440FD" w:rsidRPr="004A35C2" w:rsidRDefault="007440FD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88294" w14:textId="1D19CE75" w:rsidR="007440FD" w:rsidRPr="004A35C2" w:rsidRDefault="00E10D7A" w:rsidP="00DF00F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</w:t>
            </w:r>
            <w:r w:rsidRP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чешће </w:t>
            </w:r>
            <w:r w:rsidRPr="00E10D7A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ванбилансних изложености </w:t>
            </w:r>
            <w:r w:rsidRP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 укупној активи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4CF61D7D" w14:textId="77777777" w:rsidR="007440FD" w:rsidRPr="004A35C2" w:rsidRDefault="007440FD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645933">
              <w:rPr>
                <w:rFonts w:ascii="Arial" w:hAnsi="Arial" w:cs="Arial"/>
                <w:b/>
                <w:color w:val="1A1617"/>
                <w:sz w:val="24"/>
                <w:szCs w:val="24"/>
              </w:rPr>
              <w:t>+</w:t>
            </w:r>
          </w:p>
        </w:tc>
      </w:tr>
      <w:tr w:rsidR="0088593B" w:rsidRPr="004A35C2" w14:paraId="0BD8BAD9" w14:textId="77777777" w:rsidTr="00814F25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6AAF3646" w14:textId="77777777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21231" w14:textId="4D9BC9A1" w:rsidR="0088593B" w:rsidRPr="004A35C2" w:rsidRDefault="007B0F2D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7B0F2D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>учешће послова са дериватима у укупној активи</w:t>
            </w:r>
            <w:r w:rsidRPr="007B0F2D" w:rsidDel="00FB19AF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5640B7D1" w14:textId="77777777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+</w:t>
            </w:r>
          </w:p>
        </w:tc>
      </w:tr>
      <w:tr w:rsidR="0088593B" w:rsidRPr="004A35C2" w14:paraId="022EC79C" w14:textId="77777777" w:rsidTr="00814F25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1484DC38" w14:textId="77777777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10B76" w14:textId="0BC77E10" w:rsidR="0088593B" w:rsidRPr="004A35C2" w:rsidRDefault="00B70E51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у</w:t>
            </w:r>
            <w:r w:rsidR="0088593B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чешће бруто </w:t>
            </w:r>
            <w:r w:rsidR="0088593B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en-US"/>
              </w:rPr>
              <w:t>NPL</w:t>
            </w:r>
            <w:r w:rsidR="0088593B" w:rsidRPr="00814F2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="0088593B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у укупним кредитима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6B2193C4" w14:textId="77777777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+</w:t>
            </w:r>
          </w:p>
        </w:tc>
      </w:tr>
      <w:tr w:rsidR="0088593B" w:rsidRPr="004A35C2" w14:paraId="6C246001" w14:textId="77777777" w:rsidTr="00814F25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57AC5375" w14:textId="77777777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A9AA8" w14:textId="34F52272" w:rsidR="0088593B" w:rsidRPr="004A35C2" w:rsidRDefault="00B70E51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у</w:t>
            </w:r>
            <w:r w:rsidR="0088593B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чешће нето </w:t>
            </w:r>
            <w:r w:rsidR="0088593B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en-US"/>
              </w:rPr>
              <w:t>NPL</w:t>
            </w:r>
            <w:r w:rsidR="0088593B" w:rsidRPr="00814F2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="0088593B"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у основном капиталу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76DBDFC4" w14:textId="77777777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+</w:t>
            </w:r>
          </w:p>
        </w:tc>
      </w:tr>
      <w:tr w:rsidR="0088593B" w:rsidRPr="004A35C2" w14:paraId="6C184BE3" w14:textId="77777777" w:rsidTr="004A35C2">
        <w:trPr>
          <w:trHeight w:val="330"/>
        </w:trPr>
        <w:tc>
          <w:tcPr>
            <w:tcW w:w="2539" w:type="dxa"/>
            <w:vMerge/>
            <w:shd w:val="clear" w:color="auto" w:fill="auto"/>
            <w:vAlign w:val="center"/>
          </w:tcPr>
          <w:p w14:paraId="4A8405AB" w14:textId="77777777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A3BF9" w14:textId="06AA63AA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ROA</w:t>
            </w:r>
            <w:r w:rsidR="00FD1054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(након пореза)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603BAAE7" w14:textId="77777777" w:rsidR="0088593B" w:rsidRPr="004A35C2" w:rsidRDefault="0088593B" w:rsidP="00DF00F1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1A1617"/>
                <w:sz w:val="24"/>
                <w:szCs w:val="24"/>
              </w:rPr>
            </w:pPr>
            <w:r w:rsidRPr="004A35C2">
              <w:rPr>
                <w:rFonts w:ascii="Arial" w:hAnsi="Arial" w:cs="Arial"/>
                <w:b/>
                <w:color w:val="1A1617"/>
                <w:sz w:val="24"/>
                <w:szCs w:val="24"/>
              </w:rPr>
              <w:t>-</w:t>
            </w:r>
          </w:p>
        </w:tc>
      </w:tr>
    </w:tbl>
    <w:p w14:paraId="7B2439D9" w14:textId="77777777" w:rsidR="001F6FE0" w:rsidRPr="00545268" w:rsidRDefault="001F6FE0" w:rsidP="00DF00F1">
      <w:pPr>
        <w:widowControl w:val="0"/>
        <w:spacing w:after="0" w:line="240" w:lineRule="auto"/>
        <w:jc w:val="center"/>
        <w:rPr>
          <w:rFonts w:ascii="Arial" w:hAnsi="Arial" w:cs="Arial"/>
          <w:b/>
          <w:color w:val="1A1617"/>
          <w:sz w:val="28"/>
          <w:szCs w:val="28"/>
        </w:rPr>
      </w:pPr>
    </w:p>
    <w:p w14:paraId="37CC39BC" w14:textId="2EA22EEE" w:rsidR="001F6FE0" w:rsidRPr="00545268" w:rsidRDefault="00BD366C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AF2ADA" w:rsidRPr="00545268">
        <w:rPr>
          <w:rFonts w:ascii="Arial" w:hAnsi="Arial" w:cs="Arial"/>
          <w:sz w:val="28"/>
          <w:szCs w:val="28"/>
        </w:rPr>
        <w:t xml:space="preserve">У случају индикатора са позитивним предзнаком, више вредности </w:t>
      </w:r>
      <w:r w:rsidR="008541DD" w:rsidRPr="00545268">
        <w:rPr>
          <w:rFonts w:ascii="Arial" w:hAnsi="Arial" w:cs="Arial"/>
          <w:sz w:val="28"/>
          <w:szCs w:val="28"/>
        </w:rPr>
        <w:t xml:space="preserve">тог индикатора </w:t>
      </w:r>
      <w:r w:rsidR="00AF2ADA" w:rsidRPr="00545268">
        <w:rPr>
          <w:rFonts w:ascii="Arial" w:hAnsi="Arial" w:cs="Arial"/>
          <w:sz w:val="28"/>
          <w:szCs w:val="28"/>
        </w:rPr>
        <w:t>одговарају већ</w:t>
      </w:r>
      <w:r w:rsidR="000E2D4D" w:rsidRPr="00545268">
        <w:rPr>
          <w:rFonts w:ascii="Arial" w:hAnsi="Arial" w:cs="Arial"/>
          <w:sz w:val="28"/>
          <w:szCs w:val="28"/>
        </w:rPr>
        <w:t>ем степену ризично</w:t>
      </w:r>
      <w:r w:rsidR="00D028F7">
        <w:rPr>
          <w:rFonts w:ascii="Arial" w:hAnsi="Arial" w:cs="Arial"/>
          <w:sz w:val="28"/>
          <w:szCs w:val="28"/>
        </w:rPr>
        <w:t>сти</w:t>
      </w:r>
      <w:r w:rsidR="00AF2ADA" w:rsidRPr="00545268">
        <w:rPr>
          <w:rFonts w:ascii="Arial" w:hAnsi="Arial" w:cs="Arial"/>
          <w:sz w:val="28"/>
          <w:szCs w:val="28"/>
        </w:rPr>
        <w:t xml:space="preserve"> банке. У случају индикатора са негативним предзнаком, више вредности</w:t>
      </w:r>
      <w:r w:rsidR="0048659D" w:rsidRPr="00545268">
        <w:rPr>
          <w:rFonts w:ascii="Arial" w:hAnsi="Arial" w:cs="Arial"/>
          <w:sz w:val="28"/>
          <w:szCs w:val="28"/>
        </w:rPr>
        <w:t xml:space="preserve"> индикатора</w:t>
      </w:r>
      <w:r w:rsidR="00AF2ADA" w:rsidRPr="00545268">
        <w:rPr>
          <w:rFonts w:ascii="Arial" w:hAnsi="Arial" w:cs="Arial"/>
          <w:sz w:val="28"/>
          <w:szCs w:val="28"/>
        </w:rPr>
        <w:t xml:space="preserve"> одговарају мањ</w:t>
      </w:r>
      <w:r w:rsidR="000E2D4D" w:rsidRPr="00545268">
        <w:rPr>
          <w:rFonts w:ascii="Arial" w:hAnsi="Arial" w:cs="Arial"/>
          <w:sz w:val="28"/>
          <w:szCs w:val="28"/>
        </w:rPr>
        <w:t>ем степену ризично</w:t>
      </w:r>
      <w:r w:rsidR="00D028F7">
        <w:rPr>
          <w:rFonts w:ascii="Arial" w:hAnsi="Arial" w:cs="Arial"/>
          <w:sz w:val="28"/>
          <w:szCs w:val="28"/>
        </w:rPr>
        <w:t>сти</w:t>
      </w:r>
      <w:r w:rsidR="00AF2ADA" w:rsidRPr="00545268">
        <w:rPr>
          <w:rFonts w:ascii="Arial" w:hAnsi="Arial" w:cs="Arial"/>
          <w:sz w:val="28"/>
          <w:szCs w:val="28"/>
        </w:rPr>
        <w:t xml:space="preserve"> </w:t>
      </w:r>
      <w:r w:rsidR="0048659D" w:rsidRPr="00545268">
        <w:rPr>
          <w:rFonts w:ascii="Arial" w:hAnsi="Arial" w:cs="Arial"/>
          <w:sz w:val="28"/>
          <w:szCs w:val="28"/>
        </w:rPr>
        <w:t>банке</w:t>
      </w:r>
      <w:r w:rsidR="00AF2ADA" w:rsidRPr="00545268">
        <w:rPr>
          <w:rFonts w:ascii="Arial" w:hAnsi="Arial" w:cs="Arial"/>
          <w:sz w:val="28"/>
          <w:szCs w:val="28"/>
        </w:rPr>
        <w:t>.</w:t>
      </w:r>
    </w:p>
    <w:p w14:paraId="30CFBD89" w14:textId="77777777" w:rsidR="00AF2ADA" w:rsidRPr="00545268" w:rsidRDefault="00AF2AD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FD241C5" w14:textId="4AE8A24C" w:rsidR="00AF2ADA" w:rsidRPr="00545268" w:rsidRDefault="00BD366C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D028F7">
        <w:rPr>
          <w:rFonts w:ascii="Arial" w:hAnsi="Arial" w:cs="Arial"/>
          <w:sz w:val="28"/>
          <w:szCs w:val="28"/>
        </w:rPr>
        <w:t>Н</w:t>
      </w:r>
      <w:r w:rsidR="00AF2ADA" w:rsidRPr="00545268">
        <w:rPr>
          <w:rFonts w:ascii="Arial" w:hAnsi="Arial" w:cs="Arial"/>
          <w:sz w:val="28"/>
          <w:szCs w:val="28"/>
        </w:rPr>
        <w:t>а сваки</w:t>
      </w:r>
      <w:r w:rsidR="00D028F7">
        <w:rPr>
          <w:rFonts w:ascii="Arial" w:hAnsi="Arial" w:cs="Arial"/>
          <w:sz w:val="28"/>
          <w:szCs w:val="28"/>
        </w:rPr>
        <w:t xml:space="preserve"> од</w:t>
      </w:r>
      <w:r w:rsidR="00AF2ADA" w:rsidRPr="00545268">
        <w:rPr>
          <w:rFonts w:ascii="Arial" w:hAnsi="Arial" w:cs="Arial"/>
          <w:sz w:val="28"/>
          <w:szCs w:val="28"/>
        </w:rPr>
        <w:t xml:space="preserve"> индикатор</w:t>
      </w:r>
      <w:r w:rsidR="00D028F7">
        <w:rPr>
          <w:rFonts w:ascii="Arial" w:hAnsi="Arial" w:cs="Arial"/>
          <w:sz w:val="28"/>
          <w:szCs w:val="28"/>
        </w:rPr>
        <w:t>а</w:t>
      </w:r>
      <w:r w:rsidR="00AF2ADA" w:rsidRPr="00545268">
        <w:rPr>
          <w:rFonts w:ascii="Arial" w:hAnsi="Arial" w:cs="Arial"/>
          <w:sz w:val="28"/>
          <w:szCs w:val="28"/>
        </w:rPr>
        <w:t xml:space="preserve"> ризика </w:t>
      </w:r>
      <w:r w:rsidR="00D028F7">
        <w:rPr>
          <w:rFonts w:ascii="Arial" w:hAnsi="Arial" w:cs="Arial"/>
          <w:sz w:val="28"/>
          <w:szCs w:val="28"/>
        </w:rPr>
        <w:t>израчунат у складу са де</w:t>
      </w:r>
      <w:r w:rsidR="00D441B3">
        <w:rPr>
          <w:rFonts w:ascii="Arial" w:hAnsi="Arial" w:cs="Arial"/>
          <w:sz w:val="28"/>
          <w:szCs w:val="28"/>
        </w:rPr>
        <w:t>л</w:t>
      </w:r>
      <w:r w:rsidR="00D028F7">
        <w:rPr>
          <w:rFonts w:ascii="Arial" w:hAnsi="Arial" w:cs="Arial"/>
          <w:sz w:val="28"/>
          <w:szCs w:val="28"/>
        </w:rPr>
        <w:t xml:space="preserve">ом </w:t>
      </w:r>
      <w:r w:rsidR="00AF2ADA" w:rsidRPr="00545268">
        <w:rPr>
          <w:rFonts w:ascii="Arial" w:hAnsi="Arial" w:cs="Arial"/>
          <w:sz w:val="28"/>
          <w:szCs w:val="28"/>
        </w:rPr>
        <w:t xml:space="preserve">3. овог </w:t>
      </w:r>
      <w:r w:rsidR="00705ABB">
        <w:rPr>
          <w:rFonts w:ascii="Arial" w:hAnsi="Arial" w:cs="Arial"/>
          <w:sz w:val="28"/>
          <w:szCs w:val="28"/>
        </w:rPr>
        <w:t>п</w:t>
      </w:r>
      <w:r w:rsidR="00AF2ADA" w:rsidRPr="00545268">
        <w:rPr>
          <w:rFonts w:ascii="Arial" w:hAnsi="Arial" w:cs="Arial"/>
          <w:sz w:val="28"/>
          <w:szCs w:val="28"/>
        </w:rPr>
        <w:t>рилога</w:t>
      </w:r>
      <w:r w:rsidR="006235F3">
        <w:rPr>
          <w:rFonts w:ascii="Arial" w:hAnsi="Arial" w:cs="Arial"/>
          <w:sz w:val="28"/>
          <w:szCs w:val="28"/>
        </w:rPr>
        <w:t xml:space="preserve"> (</w:t>
      </w:r>
      <w:r w:rsidR="00487529" w:rsidRPr="00814F25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R</w:t>
      </w:r>
      <w:r w:rsidR="00AF2ADA" w:rsidRPr="00814F25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I</w:t>
      </w:r>
      <w:proofErr w:type="spellStart"/>
      <w:r w:rsidR="0048659D" w:rsidRPr="00814F25">
        <w:rPr>
          <w:rFonts w:ascii="Arial" w:hAnsi="Arial" w:cs="Arial"/>
          <w:b/>
          <w:bCs/>
          <w:i/>
          <w:iCs/>
          <w:sz w:val="28"/>
          <w:szCs w:val="28"/>
          <w:vertAlign w:val="subscript"/>
          <w:lang w:val="sr-Latn-RS"/>
        </w:rPr>
        <w:t>ij,n</w:t>
      </w:r>
      <w:proofErr w:type="spellEnd"/>
      <w:r w:rsidR="006235F3">
        <w:rPr>
          <w:rFonts w:ascii="Arial" w:hAnsi="Arial" w:cs="Arial"/>
          <w:sz w:val="28"/>
          <w:szCs w:val="28"/>
        </w:rPr>
        <w:t>),</w:t>
      </w:r>
      <w:r w:rsidR="0048659D" w:rsidRPr="00545268">
        <w:rPr>
          <w:rFonts w:ascii="Arial" w:hAnsi="Arial" w:cs="Arial"/>
          <w:sz w:val="28"/>
          <w:szCs w:val="28"/>
        </w:rPr>
        <w:t xml:space="preserve"> </w:t>
      </w:r>
      <w:r w:rsidR="00AF2ADA" w:rsidRPr="00814F2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примењује се следећа трансформација</w:t>
      </w:r>
      <w:r w:rsidR="00AF2ADA" w:rsidRPr="00545268">
        <w:rPr>
          <w:rFonts w:ascii="Arial" w:hAnsi="Arial" w:cs="Arial"/>
          <w:sz w:val="28"/>
          <w:szCs w:val="28"/>
        </w:rPr>
        <w:t>:</w:t>
      </w:r>
    </w:p>
    <w:p w14:paraId="20321715" w14:textId="77777777" w:rsidR="00AF2ADA" w:rsidRPr="00545268" w:rsidRDefault="00AF2AD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CAC456A" w14:textId="197104C8" w:rsidR="00AF2ADA" w:rsidRPr="00545268" w:rsidRDefault="00C809AA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FBB81C3" wp14:editId="107952FA">
            <wp:extent cx="5760720" cy="494030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FC39B" w14:textId="77777777" w:rsidR="00487529" w:rsidRPr="00545268" w:rsidRDefault="00487529" w:rsidP="00DF00F1">
      <w:pPr>
        <w:widowControl w:val="0"/>
        <w:spacing w:after="0" w:line="240" w:lineRule="auto"/>
        <w:rPr>
          <w:rFonts w:ascii="Arial" w:hAnsi="Arial" w:cs="Arial"/>
          <w:b/>
          <w:color w:val="1A1617"/>
          <w:sz w:val="28"/>
          <w:szCs w:val="28"/>
        </w:rPr>
      </w:pPr>
    </w:p>
    <w:p w14:paraId="042FF1D2" w14:textId="7F37E3FC" w:rsidR="00487529" w:rsidRPr="00545268" w:rsidRDefault="00CD066D" w:rsidP="00DF00F1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hAnsi="Arial" w:cs="Arial"/>
          <w:b/>
          <w:color w:val="1A1617"/>
          <w:sz w:val="28"/>
          <w:szCs w:val="28"/>
        </w:rPr>
      </w:pPr>
      <w:r>
        <w:rPr>
          <w:rFonts w:ascii="Arial" w:hAnsi="Arial" w:cs="Arial"/>
          <w:b/>
          <w:color w:val="1A1617"/>
          <w:sz w:val="28"/>
          <w:szCs w:val="28"/>
        </w:rPr>
        <w:t>Обрачун</w:t>
      </w:r>
      <w:r w:rsidRPr="00545268">
        <w:rPr>
          <w:rFonts w:ascii="Arial" w:hAnsi="Arial" w:cs="Arial"/>
          <w:b/>
          <w:color w:val="1A1617"/>
          <w:sz w:val="28"/>
          <w:szCs w:val="28"/>
        </w:rPr>
        <w:t xml:space="preserve"> </w:t>
      </w:r>
      <w:r w:rsidR="00487529" w:rsidRPr="00545268">
        <w:rPr>
          <w:rFonts w:ascii="Arial" w:hAnsi="Arial" w:cs="Arial"/>
          <w:b/>
          <w:color w:val="1A1617"/>
          <w:sz w:val="28"/>
          <w:szCs w:val="28"/>
        </w:rPr>
        <w:t>композитног индикатора</w:t>
      </w:r>
    </w:p>
    <w:p w14:paraId="3E5CB6F8" w14:textId="77777777" w:rsidR="00487529" w:rsidRPr="00545268" w:rsidRDefault="00487529" w:rsidP="00DF00F1">
      <w:pPr>
        <w:widowControl w:val="0"/>
        <w:spacing w:after="0" w:line="240" w:lineRule="auto"/>
        <w:jc w:val="center"/>
        <w:rPr>
          <w:rFonts w:ascii="Arial" w:hAnsi="Arial" w:cs="Arial"/>
          <w:b/>
          <w:color w:val="1A1617"/>
          <w:sz w:val="28"/>
          <w:szCs w:val="28"/>
        </w:rPr>
      </w:pPr>
    </w:p>
    <w:p w14:paraId="05E40BFC" w14:textId="5B7F97FD" w:rsidR="00487529" w:rsidRPr="00545268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bCs/>
          <w:color w:val="1A1617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6235F3">
        <w:rPr>
          <w:rFonts w:ascii="Arial" w:hAnsi="Arial" w:cs="Arial"/>
          <w:bCs/>
          <w:color w:val="1A1617"/>
          <w:sz w:val="28"/>
          <w:szCs w:val="28"/>
        </w:rPr>
        <w:t>8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CD066D">
        <w:rPr>
          <w:rFonts w:ascii="Arial" w:hAnsi="Arial" w:cs="Arial"/>
          <w:bCs/>
          <w:color w:val="1A1617"/>
          <w:sz w:val="28"/>
          <w:szCs w:val="28"/>
        </w:rPr>
        <w:t>И</w:t>
      </w:r>
      <w:r w:rsidR="00487529" w:rsidRPr="00545268">
        <w:rPr>
          <w:rFonts w:ascii="Arial" w:hAnsi="Arial" w:cs="Arial"/>
          <w:bCs/>
          <w:color w:val="1A1617"/>
          <w:sz w:val="28"/>
          <w:szCs w:val="28"/>
        </w:rPr>
        <w:t>ндикатор</w:t>
      </w:r>
      <w:r w:rsidR="00CD066D">
        <w:rPr>
          <w:rFonts w:ascii="Arial" w:hAnsi="Arial" w:cs="Arial"/>
          <w:bCs/>
          <w:color w:val="1A1617"/>
          <w:sz w:val="28"/>
          <w:szCs w:val="28"/>
        </w:rPr>
        <w:t>и</w:t>
      </w:r>
      <w:r w:rsidR="00D840FD" w:rsidRPr="00545268">
        <w:rPr>
          <w:rFonts w:ascii="Arial" w:hAnsi="Arial" w:cs="Arial"/>
          <w:bCs/>
          <w:color w:val="1A1617"/>
          <w:sz w:val="28"/>
          <w:szCs w:val="28"/>
        </w:rPr>
        <w:t xml:space="preserve"> ризика</w:t>
      </w:r>
      <w:r w:rsidR="00487529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r w:rsidR="00CD066D">
        <w:rPr>
          <w:rFonts w:ascii="Arial" w:hAnsi="Arial" w:cs="Arial"/>
          <w:bCs/>
          <w:color w:val="1A1617"/>
          <w:sz w:val="28"/>
          <w:szCs w:val="28"/>
        </w:rPr>
        <w:t>(</w:t>
      </w:r>
      <w:r w:rsidR="00487529" w:rsidRPr="00814F25">
        <w:rPr>
          <w:rFonts w:ascii="Arial" w:hAnsi="Arial" w:cs="Arial"/>
          <w:b/>
          <w:i/>
          <w:iCs/>
          <w:color w:val="1A1617"/>
          <w:sz w:val="28"/>
          <w:szCs w:val="28"/>
        </w:rPr>
        <w:t>i</w:t>
      </w:r>
      <w:r w:rsidR="00CD066D">
        <w:rPr>
          <w:rFonts w:ascii="Arial" w:hAnsi="Arial" w:cs="Arial"/>
          <w:bCs/>
          <w:color w:val="1A1617"/>
          <w:sz w:val="28"/>
          <w:szCs w:val="28"/>
        </w:rPr>
        <w:t>)</w:t>
      </w:r>
      <w:r w:rsidR="00487529" w:rsidRPr="00545268">
        <w:rPr>
          <w:rFonts w:ascii="Arial" w:hAnsi="Arial" w:cs="Arial"/>
          <w:bCs/>
          <w:i/>
          <w:iCs/>
          <w:color w:val="1A1617"/>
          <w:sz w:val="28"/>
          <w:szCs w:val="28"/>
        </w:rPr>
        <w:t xml:space="preserve"> </w:t>
      </w:r>
      <w:r w:rsidR="00487529" w:rsidRPr="00545268">
        <w:rPr>
          <w:rFonts w:ascii="Arial" w:hAnsi="Arial" w:cs="Arial"/>
          <w:bCs/>
          <w:color w:val="1A1617"/>
          <w:sz w:val="28"/>
          <w:szCs w:val="28"/>
        </w:rPr>
        <w:t xml:space="preserve">унутар сваке категорије ризика </w:t>
      </w:r>
      <w:r w:rsidR="00CD066D">
        <w:rPr>
          <w:rFonts w:ascii="Arial" w:hAnsi="Arial" w:cs="Arial"/>
          <w:bCs/>
          <w:color w:val="1A1617"/>
          <w:sz w:val="28"/>
          <w:szCs w:val="28"/>
        </w:rPr>
        <w:t>(</w:t>
      </w:r>
      <w:r w:rsidR="00487529" w:rsidRPr="00814F25">
        <w:rPr>
          <w:rFonts w:ascii="Arial" w:hAnsi="Arial" w:cs="Arial"/>
          <w:b/>
          <w:i/>
          <w:iCs/>
          <w:color w:val="1A1617"/>
          <w:sz w:val="28"/>
          <w:szCs w:val="28"/>
        </w:rPr>
        <w:t>j</w:t>
      </w:r>
      <w:r w:rsidR="00CD066D">
        <w:rPr>
          <w:rFonts w:ascii="Arial" w:hAnsi="Arial" w:cs="Arial"/>
          <w:bCs/>
          <w:color w:val="1A1617"/>
          <w:sz w:val="28"/>
          <w:szCs w:val="28"/>
        </w:rPr>
        <w:t>)</w:t>
      </w:r>
      <w:r w:rsidR="00487529" w:rsidRPr="00545268">
        <w:rPr>
          <w:rFonts w:ascii="Arial" w:hAnsi="Arial" w:cs="Arial"/>
          <w:bCs/>
          <w:color w:val="1A1617"/>
          <w:sz w:val="28"/>
          <w:szCs w:val="28"/>
        </w:rPr>
        <w:t xml:space="preserve"> </w:t>
      </w:r>
      <w:proofErr w:type="spellStart"/>
      <w:r w:rsidR="00CD066D">
        <w:rPr>
          <w:rFonts w:ascii="Arial" w:hAnsi="Arial" w:cs="Arial"/>
          <w:bCs/>
          <w:color w:val="1A1617"/>
          <w:sz w:val="28"/>
          <w:szCs w:val="28"/>
        </w:rPr>
        <w:t>агрегирају</w:t>
      </w:r>
      <w:proofErr w:type="spellEnd"/>
      <w:r w:rsidR="00CD066D">
        <w:rPr>
          <w:rFonts w:ascii="Arial" w:hAnsi="Arial" w:cs="Arial"/>
          <w:bCs/>
          <w:color w:val="1A1617"/>
          <w:sz w:val="28"/>
          <w:szCs w:val="28"/>
        </w:rPr>
        <w:t xml:space="preserve"> се </w:t>
      </w:r>
      <w:r w:rsidR="00487529" w:rsidRPr="00545268">
        <w:rPr>
          <w:rFonts w:ascii="Arial" w:hAnsi="Arial" w:cs="Arial"/>
          <w:bCs/>
          <w:color w:val="1A1617"/>
          <w:sz w:val="28"/>
          <w:szCs w:val="28"/>
        </w:rPr>
        <w:t xml:space="preserve">путем </w:t>
      </w:r>
      <w:proofErr w:type="spellStart"/>
      <w:r w:rsidR="00487529" w:rsidRPr="00545268">
        <w:rPr>
          <w:rFonts w:ascii="Arial" w:hAnsi="Arial" w:cs="Arial"/>
          <w:bCs/>
          <w:color w:val="1A1617"/>
          <w:sz w:val="28"/>
          <w:szCs w:val="28"/>
        </w:rPr>
        <w:t>пондерисаног</w:t>
      </w:r>
      <w:proofErr w:type="spellEnd"/>
      <w:r w:rsidR="00487529" w:rsidRPr="00545268">
        <w:rPr>
          <w:rFonts w:ascii="Arial" w:hAnsi="Arial" w:cs="Arial"/>
          <w:bCs/>
          <w:color w:val="1A1617"/>
          <w:sz w:val="28"/>
          <w:szCs w:val="28"/>
        </w:rPr>
        <w:t xml:space="preserve"> аритметичког просека</w:t>
      </w:r>
      <w:r w:rsidR="00D840FD" w:rsidRPr="00545268">
        <w:rPr>
          <w:rFonts w:ascii="Arial" w:hAnsi="Arial" w:cs="Arial"/>
          <w:bCs/>
          <w:color w:val="1A1617"/>
          <w:sz w:val="28"/>
          <w:szCs w:val="28"/>
        </w:rPr>
        <w:t>,</w:t>
      </w:r>
      <w:r w:rsidR="00487529" w:rsidRPr="00545268">
        <w:rPr>
          <w:rFonts w:ascii="Arial" w:hAnsi="Arial" w:cs="Arial"/>
          <w:bCs/>
          <w:color w:val="1A1617"/>
          <w:sz w:val="28"/>
          <w:szCs w:val="28"/>
        </w:rPr>
        <w:t xml:space="preserve"> применом следеће формуле:</w:t>
      </w:r>
    </w:p>
    <w:p w14:paraId="18AC6564" w14:textId="77777777" w:rsidR="00487529" w:rsidRPr="00545268" w:rsidRDefault="00487529" w:rsidP="00DF00F1">
      <w:pPr>
        <w:widowControl w:val="0"/>
        <w:spacing w:after="0" w:line="240" w:lineRule="auto"/>
        <w:rPr>
          <w:rFonts w:ascii="Arial" w:hAnsi="Arial" w:cs="Arial"/>
          <w:b/>
          <w:color w:val="1A1617"/>
          <w:sz w:val="28"/>
          <w:szCs w:val="28"/>
        </w:rPr>
      </w:pPr>
    </w:p>
    <w:p w14:paraId="28BA7290" w14:textId="4E8E13CE" w:rsidR="00487529" w:rsidRPr="00545268" w:rsidRDefault="00C809AA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76DD992" wp14:editId="2F89A510">
            <wp:extent cx="5760720" cy="676910"/>
            <wp:effectExtent l="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9D1DC" w14:textId="77777777" w:rsidR="00CD066D" w:rsidRDefault="00CD066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084ACB4" w14:textId="48F6B7C6" w:rsidR="00487529" w:rsidRPr="00545268" w:rsidRDefault="00487529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45268">
        <w:rPr>
          <w:rFonts w:ascii="Arial" w:hAnsi="Arial" w:cs="Arial"/>
          <w:sz w:val="28"/>
          <w:szCs w:val="28"/>
        </w:rPr>
        <w:t xml:space="preserve">где </w:t>
      </w:r>
      <w:r w:rsidR="00692196">
        <w:rPr>
          <w:rFonts w:ascii="Arial" w:hAnsi="Arial" w:cs="Arial"/>
          <w:sz w:val="28"/>
          <w:szCs w:val="28"/>
        </w:rPr>
        <w:t>су</w:t>
      </w:r>
      <w:r w:rsidRPr="00545268">
        <w:rPr>
          <w:rFonts w:ascii="Arial" w:hAnsi="Arial" w:cs="Arial"/>
          <w:sz w:val="28"/>
          <w:szCs w:val="28"/>
        </w:rPr>
        <w:t>:</w:t>
      </w:r>
    </w:p>
    <w:p w14:paraId="3CE24FAE" w14:textId="77777777" w:rsidR="00487529" w:rsidRPr="00545268" w:rsidRDefault="00487529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1179B54" w14:textId="38E0AB99" w:rsidR="00487529" w:rsidRPr="00545268" w:rsidRDefault="009C5E36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814F25">
        <w:rPr>
          <w:rFonts w:ascii="Arial" w:hAnsi="Arial" w:cs="Arial"/>
          <w:b/>
          <w:bCs/>
          <w:i/>
          <w:iCs/>
          <w:sz w:val="28"/>
          <w:szCs w:val="28"/>
          <w:lang w:val="sr-Latn-RS"/>
        </w:rPr>
        <w:t>w</w:t>
      </w:r>
      <w:r w:rsidR="0048659D" w:rsidRPr="00814F25">
        <w:rPr>
          <w:rFonts w:ascii="Arial" w:hAnsi="Arial" w:cs="Arial"/>
          <w:b/>
          <w:bCs/>
          <w:i/>
          <w:iCs/>
          <w:sz w:val="28"/>
          <w:szCs w:val="28"/>
          <w:vertAlign w:val="subscript"/>
          <w:lang w:val="sr-Latn-RS"/>
        </w:rPr>
        <w:t>ij</w:t>
      </w:r>
      <w:proofErr w:type="spellEnd"/>
      <w:r w:rsidR="00487529" w:rsidRPr="00545268">
        <w:rPr>
          <w:rFonts w:ascii="Arial" w:hAnsi="Arial" w:cs="Arial"/>
          <w:sz w:val="28"/>
          <w:szCs w:val="28"/>
        </w:rPr>
        <w:t xml:space="preserve"> </w:t>
      </w:r>
      <w:r w:rsidR="00CD066D" w:rsidRPr="00814F25">
        <w:rPr>
          <w:rFonts w:ascii="Arial" w:hAnsi="Arial" w:cs="Arial"/>
          <w:sz w:val="28"/>
          <w:szCs w:val="28"/>
        </w:rPr>
        <w:t>–</w:t>
      </w:r>
      <w:r w:rsidR="00487529" w:rsidRPr="0054526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87529" w:rsidRPr="00545268">
        <w:rPr>
          <w:rFonts w:ascii="Arial" w:hAnsi="Arial" w:cs="Arial"/>
          <w:sz w:val="28"/>
          <w:szCs w:val="28"/>
        </w:rPr>
        <w:t>пондер</w:t>
      </w:r>
      <w:proofErr w:type="spellEnd"/>
      <w:r w:rsidR="00487529" w:rsidRPr="00545268">
        <w:rPr>
          <w:rFonts w:ascii="Arial" w:hAnsi="Arial" w:cs="Arial"/>
          <w:sz w:val="28"/>
          <w:szCs w:val="28"/>
        </w:rPr>
        <w:t xml:space="preserve"> </w:t>
      </w:r>
      <w:r w:rsidR="00CD066D">
        <w:rPr>
          <w:rFonts w:ascii="Arial" w:hAnsi="Arial" w:cs="Arial"/>
          <w:sz w:val="28"/>
          <w:szCs w:val="28"/>
        </w:rPr>
        <w:t xml:space="preserve">значајности </w:t>
      </w:r>
      <w:r w:rsidR="00487529" w:rsidRPr="00545268">
        <w:rPr>
          <w:rFonts w:ascii="Arial" w:hAnsi="Arial" w:cs="Arial"/>
          <w:sz w:val="28"/>
          <w:szCs w:val="28"/>
        </w:rPr>
        <w:t xml:space="preserve">индикатора </w:t>
      </w:r>
      <w:r w:rsidR="00487529" w:rsidRPr="00545268">
        <w:rPr>
          <w:rFonts w:ascii="Arial" w:hAnsi="Arial" w:cs="Arial"/>
          <w:i/>
          <w:iCs/>
          <w:sz w:val="28"/>
          <w:szCs w:val="28"/>
        </w:rPr>
        <w:t>i</w:t>
      </w:r>
      <w:r w:rsidR="00487529" w:rsidRPr="00545268">
        <w:rPr>
          <w:rFonts w:ascii="Arial" w:hAnsi="Arial" w:cs="Arial"/>
          <w:sz w:val="28"/>
          <w:szCs w:val="28"/>
        </w:rPr>
        <w:t xml:space="preserve"> у категорији ризика </w:t>
      </w:r>
      <w:r w:rsidR="00487529" w:rsidRPr="00545268">
        <w:rPr>
          <w:rFonts w:ascii="Arial" w:hAnsi="Arial" w:cs="Arial"/>
          <w:i/>
          <w:iCs/>
          <w:sz w:val="28"/>
          <w:szCs w:val="28"/>
        </w:rPr>
        <w:t>j</w:t>
      </w:r>
      <w:r w:rsidR="00487529" w:rsidRPr="00545268">
        <w:rPr>
          <w:rFonts w:ascii="Arial" w:hAnsi="Arial" w:cs="Arial"/>
          <w:sz w:val="28"/>
          <w:szCs w:val="28"/>
        </w:rPr>
        <w:t xml:space="preserve">, </w:t>
      </w:r>
      <w:r w:rsidR="00487529" w:rsidRPr="00D14F30">
        <w:rPr>
          <w:rFonts w:ascii="Arial" w:hAnsi="Arial" w:cs="Arial"/>
          <w:sz w:val="28"/>
          <w:szCs w:val="28"/>
        </w:rPr>
        <w:t>дефинисан</w:t>
      </w:r>
      <w:r w:rsidR="00C520F5" w:rsidRPr="00D14F3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520F5" w:rsidRPr="00D441B3">
        <w:rPr>
          <w:rFonts w:ascii="Arial" w:hAnsi="Arial" w:cs="Arial"/>
          <w:sz w:val="28"/>
          <w:szCs w:val="28"/>
        </w:rPr>
        <w:t>тач</w:t>
      </w:r>
      <w:proofErr w:type="spellEnd"/>
      <w:r w:rsidR="00C520F5" w:rsidRPr="00D441B3">
        <w:rPr>
          <w:rFonts w:ascii="Arial" w:hAnsi="Arial" w:cs="Arial"/>
          <w:sz w:val="28"/>
          <w:szCs w:val="28"/>
        </w:rPr>
        <w:t xml:space="preserve">. </w:t>
      </w:r>
      <w:r w:rsidR="00D441B3">
        <w:rPr>
          <w:rFonts w:ascii="Arial" w:hAnsi="Arial" w:cs="Arial"/>
          <w:sz w:val="28"/>
          <w:szCs w:val="28"/>
        </w:rPr>
        <w:t>2</w:t>
      </w:r>
      <w:r w:rsidR="0067571D">
        <w:rPr>
          <w:rFonts w:ascii="Arial" w:hAnsi="Arial" w:cs="Arial"/>
          <w:sz w:val="28"/>
          <w:szCs w:val="28"/>
        </w:rPr>
        <w:t>0</w:t>
      </w:r>
      <w:r w:rsidR="00C520F5" w:rsidRPr="00D441B3">
        <w:rPr>
          <w:rFonts w:ascii="Arial" w:hAnsi="Arial" w:cs="Arial"/>
          <w:sz w:val="28"/>
          <w:szCs w:val="28"/>
        </w:rPr>
        <w:t xml:space="preserve">. </w:t>
      </w:r>
      <w:r w:rsidR="0027259C">
        <w:rPr>
          <w:rFonts w:ascii="Arial" w:hAnsi="Arial" w:cs="Arial"/>
          <w:sz w:val="28"/>
          <w:szCs w:val="28"/>
        </w:rPr>
        <w:t>до</w:t>
      </w:r>
      <w:r w:rsidR="00D441B3" w:rsidRPr="00814F25">
        <w:rPr>
          <w:rFonts w:ascii="Arial" w:hAnsi="Arial" w:cs="Arial"/>
          <w:sz w:val="28"/>
          <w:szCs w:val="28"/>
        </w:rPr>
        <w:t xml:space="preserve"> </w:t>
      </w:r>
      <w:r w:rsidR="00D441B3">
        <w:rPr>
          <w:rFonts w:ascii="Arial" w:hAnsi="Arial" w:cs="Arial"/>
          <w:sz w:val="28"/>
          <w:szCs w:val="28"/>
        </w:rPr>
        <w:t>2</w:t>
      </w:r>
      <w:r w:rsidR="0067571D">
        <w:rPr>
          <w:rFonts w:ascii="Arial" w:hAnsi="Arial" w:cs="Arial"/>
          <w:sz w:val="28"/>
          <w:szCs w:val="28"/>
        </w:rPr>
        <w:t>3</w:t>
      </w:r>
      <w:r w:rsidR="00D441B3" w:rsidRPr="00814F25">
        <w:rPr>
          <w:rFonts w:ascii="Arial" w:hAnsi="Arial" w:cs="Arial"/>
          <w:sz w:val="28"/>
          <w:szCs w:val="28"/>
        </w:rPr>
        <w:t>.</w:t>
      </w:r>
      <w:r w:rsidR="00487529" w:rsidRPr="00D441B3">
        <w:rPr>
          <w:rFonts w:ascii="Arial" w:hAnsi="Arial" w:cs="Arial"/>
          <w:sz w:val="28"/>
          <w:szCs w:val="28"/>
        </w:rPr>
        <w:t xml:space="preserve"> ове</w:t>
      </w:r>
      <w:r w:rsidR="00487529" w:rsidRPr="001F7670">
        <w:rPr>
          <w:rFonts w:ascii="Arial" w:hAnsi="Arial" w:cs="Arial"/>
          <w:sz w:val="28"/>
          <w:szCs w:val="28"/>
        </w:rPr>
        <w:t xml:space="preserve"> одлуке;</w:t>
      </w:r>
    </w:p>
    <w:p w14:paraId="11AECC8C" w14:textId="3BB73C96" w:rsidR="00487529" w:rsidRPr="00545268" w:rsidRDefault="00487529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14F25">
        <w:rPr>
          <w:rFonts w:ascii="Arial" w:hAnsi="Arial" w:cs="Arial"/>
          <w:b/>
          <w:bCs/>
          <w:i/>
          <w:iCs/>
          <w:sz w:val="28"/>
          <w:szCs w:val="28"/>
        </w:rPr>
        <w:t>N</w:t>
      </w:r>
      <w:r w:rsidR="009C5E36" w:rsidRPr="00814F25">
        <w:rPr>
          <w:rFonts w:ascii="Arial" w:hAnsi="Arial" w:cs="Arial"/>
          <w:b/>
          <w:bCs/>
          <w:i/>
          <w:iCs/>
          <w:sz w:val="28"/>
          <w:szCs w:val="28"/>
          <w:vertAlign w:val="subscript"/>
          <w:lang w:val="sr-Latn-RS"/>
        </w:rPr>
        <w:t>j</w:t>
      </w:r>
      <w:r w:rsidRPr="00545268">
        <w:rPr>
          <w:rFonts w:ascii="Arial" w:hAnsi="Arial" w:cs="Arial"/>
          <w:sz w:val="28"/>
          <w:szCs w:val="28"/>
        </w:rPr>
        <w:t xml:space="preserve"> </w:t>
      </w:r>
      <w:r w:rsidR="00CD066D" w:rsidRPr="00814F25">
        <w:rPr>
          <w:rFonts w:ascii="Arial" w:hAnsi="Arial" w:cs="Arial"/>
          <w:sz w:val="28"/>
          <w:szCs w:val="28"/>
        </w:rPr>
        <w:t xml:space="preserve">– </w:t>
      </w:r>
      <w:r w:rsidRPr="00545268">
        <w:rPr>
          <w:rFonts w:ascii="Arial" w:hAnsi="Arial" w:cs="Arial"/>
          <w:sz w:val="28"/>
          <w:szCs w:val="28"/>
        </w:rPr>
        <w:t xml:space="preserve">број индикатора унутар категорије </w:t>
      </w:r>
      <w:r w:rsidRPr="00545268">
        <w:rPr>
          <w:rFonts w:ascii="Arial" w:hAnsi="Arial" w:cs="Arial"/>
          <w:i/>
          <w:iCs/>
          <w:sz w:val="28"/>
          <w:szCs w:val="28"/>
        </w:rPr>
        <w:t>j</w:t>
      </w:r>
      <w:r w:rsidRPr="00545268">
        <w:rPr>
          <w:rFonts w:ascii="Arial" w:hAnsi="Arial" w:cs="Arial"/>
          <w:sz w:val="28"/>
          <w:szCs w:val="28"/>
        </w:rPr>
        <w:t>.</w:t>
      </w:r>
    </w:p>
    <w:p w14:paraId="79E9C0F7" w14:textId="77777777" w:rsidR="00487529" w:rsidRPr="00545268" w:rsidRDefault="00487529" w:rsidP="00DF00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79CC715" w14:textId="097BA783" w:rsidR="002E19EA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6235F3">
        <w:rPr>
          <w:rFonts w:ascii="Arial" w:hAnsi="Arial" w:cs="Arial"/>
          <w:bCs/>
          <w:color w:val="1A1617"/>
          <w:sz w:val="28"/>
          <w:szCs w:val="28"/>
        </w:rPr>
        <w:t>9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487529" w:rsidRPr="00545268">
        <w:rPr>
          <w:rFonts w:ascii="Arial" w:hAnsi="Arial" w:cs="Arial"/>
          <w:sz w:val="28"/>
          <w:szCs w:val="28"/>
        </w:rPr>
        <w:t xml:space="preserve">За потребе </w:t>
      </w:r>
      <w:r w:rsidR="00CD066D">
        <w:rPr>
          <w:rFonts w:ascii="Arial" w:hAnsi="Arial" w:cs="Arial"/>
          <w:sz w:val="28"/>
          <w:szCs w:val="28"/>
        </w:rPr>
        <w:t>обрачуна</w:t>
      </w:r>
      <w:r w:rsidR="00CD066D" w:rsidRPr="00545268">
        <w:rPr>
          <w:rFonts w:ascii="Arial" w:hAnsi="Arial" w:cs="Arial"/>
          <w:sz w:val="28"/>
          <w:szCs w:val="28"/>
        </w:rPr>
        <w:t xml:space="preserve"> </w:t>
      </w:r>
      <w:r w:rsidR="00487529" w:rsidRPr="00545268">
        <w:rPr>
          <w:rFonts w:ascii="Arial" w:hAnsi="Arial" w:cs="Arial"/>
          <w:sz w:val="28"/>
          <w:szCs w:val="28"/>
        </w:rPr>
        <w:t xml:space="preserve">композитног индикатора, </w:t>
      </w:r>
      <w:r w:rsidR="002E19EA" w:rsidRPr="00545268">
        <w:rPr>
          <w:rFonts w:ascii="Arial" w:hAnsi="Arial" w:cs="Arial"/>
          <w:sz w:val="28"/>
          <w:szCs w:val="28"/>
        </w:rPr>
        <w:t xml:space="preserve">категорије ризика </w:t>
      </w:r>
      <w:r w:rsidR="002E19EA" w:rsidRPr="00545268">
        <w:rPr>
          <w:rFonts w:ascii="Arial" w:hAnsi="Arial" w:cs="Arial"/>
          <w:i/>
          <w:iCs/>
          <w:sz w:val="28"/>
          <w:szCs w:val="28"/>
        </w:rPr>
        <w:t>ј</w:t>
      </w:r>
      <w:r w:rsidR="002E19EA" w:rsidRPr="0054526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D066D">
        <w:rPr>
          <w:rFonts w:ascii="Arial" w:hAnsi="Arial" w:cs="Arial"/>
          <w:sz w:val="28"/>
          <w:szCs w:val="28"/>
        </w:rPr>
        <w:t>агрегирају</w:t>
      </w:r>
      <w:proofErr w:type="spellEnd"/>
      <w:r w:rsidR="00CD066D">
        <w:rPr>
          <w:rFonts w:ascii="Arial" w:hAnsi="Arial" w:cs="Arial"/>
          <w:sz w:val="28"/>
          <w:szCs w:val="28"/>
        </w:rPr>
        <w:t xml:space="preserve"> се </w:t>
      </w:r>
      <w:r w:rsidR="002E19EA" w:rsidRPr="00545268">
        <w:rPr>
          <w:rFonts w:ascii="Arial" w:hAnsi="Arial" w:cs="Arial"/>
          <w:sz w:val="28"/>
          <w:szCs w:val="28"/>
        </w:rPr>
        <w:t xml:space="preserve">путем </w:t>
      </w:r>
      <w:proofErr w:type="spellStart"/>
      <w:r w:rsidR="002E19EA" w:rsidRPr="00545268">
        <w:rPr>
          <w:rFonts w:ascii="Arial" w:hAnsi="Arial" w:cs="Arial"/>
          <w:sz w:val="28"/>
          <w:szCs w:val="28"/>
        </w:rPr>
        <w:t>пондерисаног</w:t>
      </w:r>
      <w:proofErr w:type="spellEnd"/>
      <w:r w:rsidR="002E19EA" w:rsidRPr="00545268">
        <w:rPr>
          <w:rFonts w:ascii="Arial" w:hAnsi="Arial" w:cs="Arial"/>
          <w:sz w:val="28"/>
          <w:szCs w:val="28"/>
        </w:rPr>
        <w:t xml:space="preserve"> </w:t>
      </w:r>
      <w:r w:rsidR="009C5E36" w:rsidRPr="00545268">
        <w:rPr>
          <w:rFonts w:ascii="Arial" w:hAnsi="Arial" w:cs="Arial"/>
          <w:sz w:val="28"/>
          <w:szCs w:val="28"/>
        </w:rPr>
        <w:t>геометријског</w:t>
      </w:r>
      <w:r w:rsidR="002E19EA" w:rsidRPr="00545268">
        <w:rPr>
          <w:rFonts w:ascii="Arial" w:hAnsi="Arial" w:cs="Arial"/>
          <w:sz w:val="28"/>
          <w:szCs w:val="28"/>
        </w:rPr>
        <w:t xml:space="preserve"> просека</w:t>
      </w:r>
      <w:r w:rsidR="00D840FD" w:rsidRPr="00545268">
        <w:rPr>
          <w:rFonts w:ascii="Arial" w:hAnsi="Arial" w:cs="Arial"/>
          <w:sz w:val="28"/>
          <w:szCs w:val="28"/>
        </w:rPr>
        <w:t>,</w:t>
      </w:r>
      <w:r w:rsidR="002E19EA" w:rsidRPr="00545268">
        <w:rPr>
          <w:rFonts w:ascii="Arial" w:hAnsi="Arial" w:cs="Arial"/>
          <w:sz w:val="28"/>
          <w:szCs w:val="28"/>
        </w:rPr>
        <w:t xml:space="preserve"> применом следеће формуле:</w:t>
      </w:r>
    </w:p>
    <w:p w14:paraId="748E3423" w14:textId="77777777" w:rsidR="0048091D" w:rsidRPr="00545268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0E7315CF" w14:textId="653AA915" w:rsidR="002E19EA" w:rsidRPr="00545268" w:rsidRDefault="00C809AA" w:rsidP="00DF00F1">
      <w:pPr>
        <w:widowControl w:val="0"/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C40BE09" wp14:editId="3953F715">
            <wp:extent cx="5760720" cy="384175"/>
            <wp:effectExtent l="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859AC" w14:textId="77777777" w:rsidR="0048091D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1351384" w14:textId="67D606F5" w:rsidR="002E19EA" w:rsidRPr="00545268" w:rsidRDefault="002E19E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45268">
        <w:rPr>
          <w:rFonts w:ascii="Arial" w:hAnsi="Arial" w:cs="Arial"/>
          <w:sz w:val="28"/>
          <w:szCs w:val="28"/>
        </w:rPr>
        <w:t xml:space="preserve">где </w:t>
      </w:r>
      <w:r w:rsidR="00692196">
        <w:rPr>
          <w:rFonts w:ascii="Arial" w:hAnsi="Arial" w:cs="Arial"/>
          <w:sz w:val="28"/>
          <w:szCs w:val="28"/>
        </w:rPr>
        <w:t>су</w:t>
      </w:r>
      <w:r w:rsidRPr="00545268">
        <w:rPr>
          <w:rFonts w:ascii="Arial" w:hAnsi="Arial" w:cs="Arial"/>
          <w:sz w:val="28"/>
          <w:szCs w:val="28"/>
        </w:rPr>
        <w:t>:</w:t>
      </w:r>
    </w:p>
    <w:p w14:paraId="1C3AAEDC" w14:textId="77777777" w:rsidR="0048091D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252E3CC" w14:textId="32592639" w:rsidR="002E19EA" w:rsidRPr="00545268" w:rsidRDefault="002E19E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545268">
        <w:rPr>
          <w:rFonts w:ascii="Arial" w:hAnsi="Arial" w:cs="Arial"/>
          <w:sz w:val="28"/>
          <w:szCs w:val="28"/>
        </w:rPr>
        <w:t>W</w:t>
      </w:r>
      <w:r w:rsidRPr="00545268">
        <w:rPr>
          <w:rFonts w:ascii="Arial" w:hAnsi="Arial" w:cs="Arial"/>
          <w:sz w:val="28"/>
          <w:szCs w:val="28"/>
          <w:vertAlign w:val="subscript"/>
        </w:rPr>
        <w:t>j</w:t>
      </w:r>
      <w:proofErr w:type="spellEnd"/>
      <w:r w:rsidR="00CD066D" w:rsidRPr="00814F25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Pr="00545268">
        <w:rPr>
          <w:rFonts w:ascii="Arial" w:hAnsi="Arial" w:cs="Arial"/>
          <w:sz w:val="28"/>
          <w:szCs w:val="28"/>
        </w:rPr>
        <w:t>пондер</w:t>
      </w:r>
      <w:proofErr w:type="spellEnd"/>
      <w:r w:rsidRPr="00545268">
        <w:rPr>
          <w:rFonts w:ascii="Arial" w:hAnsi="Arial" w:cs="Arial"/>
          <w:sz w:val="28"/>
          <w:szCs w:val="28"/>
        </w:rPr>
        <w:t xml:space="preserve"> </w:t>
      </w:r>
      <w:r w:rsidR="00CD066D">
        <w:rPr>
          <w:rFonts w:ascii="Arial" w:hAnsi="Arial" w:cs="Arial"/>
          <w:sz w:val="28"/>
          <w:szCs w:val="28"/>
        </w:rPr>
        <w:t xml:space="preserve">значајности </w:t>
      </w:r>
      <w:r w:rsidRPr="00545268">
        <w:rPr>
          <w:rFonts w:ascii="Arial" w:hAnsi="Arial" w:cs="Arial"/>
          <w:sz w:val="28"/>
          <w:szCs w:val="28"/>
        </w:rPr>
        <w:t xml:space="preserve">категорије ризика, дефинисан тачком </w:t>
      </w:r>
      <w:r w:rsidR="0067571D">
        <w:rPr>
          <w:rFonts w:ascii="Arial" w:hAnsi="Arial" w:cs="Arial"/>
          <w:sz w:val="28"/>
          <w:szCs w:val="28"/>
        </w:rPr>
        <w:t>19</w:t>
      </w:r>
      <w:r w:rsidRPr="00545268">
        <w:rPr>
          <w:rFonts w:ascii="Arial" w:hAnsi="Arial" w:cs="Arial"/>
          <w:sz w:val="28"/>
          <w:szCs w:val="28"/>
        </w:rPr>
        <w:t>. ове одлуке</w:t>
      </w:r>
      <w:r w:rsidR="00EB1E11">
        <w:rPr>
          <w:rFonts w:ascii="Arial" w:hAnsi="Arial" w:cs="Arial"/>
          <w:sz w:val="28"/>
          <w:szCs w:val="28"/>
        </w:rPr>
        <w:t xml:space="preserve"> и</w:t>
      </w:r>
    </w:p>
    <w:p w14:paraId="10F9D397" w14:textId="0010E81F" w:rsidR="002E19EA" w:rsidRPr="00814F25" w:rsidRDefault="002E19E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45268">
        <w:rPr>
          <w:rFonts w:ascii="Arial" w:hAnsi="Arial" w:cs="Arial"/>
          <w:sz w:val="28"/>
          <w:szCs w:val="28"/>
        </w:rPr>
        <w:t>J</w:t>
      </w:r>
      <w:r w:rsidR="00CD066D" w:rsidRPr="00814F25">
        <w:rPr>
          <w:rFonts w:ascii="Arial" w:hAnsi="Arial" w:cs="Arial"/>
          <w:sz w:val="28"/>
          <w:szCs w:val="28"/>
        </w:rPr>
        <w:t xml:space="preserve"> – </w:t>
      </w:r>
      <w:r w:rsidRPr="00545268">
        <w:rPr>
          <w:rFonts w:ascii="Arial" w:hAnsi="Arial" w:cs="Arial"/>
          <w:sz w:val="28"/>
          <w:szCs w:val="28"/>
        </w:rPr>
        <w:t>број категорија ризика.</w:t>
      </w:r>
    </w:p>
    <w:p w14:paraId="5B371076" w14:textId="77777777" w:rsidR="002E19EA" w:rsidRPr="00814F25" w:rsidRDefault="002E19E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6A7F5914" w14:textId="4DE57103" w:rsidR="002E19EA" w:rsidRPr="00814F25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>
        <w:rPr>
          <w:rFonts w:ascii="Arial" w:hAnsi="Arial" w:cs="Arial"/>
          <w:bCs/>
          <w:color w:val="1A1617"/>
          <w:sz w:val="28"/>
          <w:szCs w:val="28"/>
        </w:rPr>
        <w:t>1</w:t>
      </w:r>
      <w:r w:rsidR="006235F3">
        <w:rPr>
          <w:rFonts w:ascii="Arial" w:hAnsi="Arial" w:cs="Arial"/>
          <w:bCs/>
          <w:color w:val="1A1617"/>
          <w:sz w:val="28"/>
          <w:szCs w:val="28"/>
        </w:rPr>
        <w:t>0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6C7902">
        <w:rPr>
          <w:rFonts w:ascii="Arial" w:hAnsi="Arial" w:cs="Arial"/>
          <w:sz w:val="28"/>
          <w:szCs w:val="28"/>
        </w:rPr>
        <w:t>К</w:t>
      </w:r>
      <w:r w:rsidR="002E19EA" w:rsidRPr="00545268">
        <w:rPr>
          <w:rFonts w:ascii="Arial" w:hAnsi="Arial" w:cs="Arial"/>
          <w:sz w:val="28"/>
          <w:szCs w:val="28"/>
        </w:rPr>
        <w:t>ако би коначн</w:t>
      </w:r>
      <w:r w:rsidR="006C7902">
        <w:rPr>
          <w:rFonts w:ascii="Arial" w:hAnsi="Arial" w:cs="Arial"/>
          <w:sz w:val="28"/>
          <w:szCs w:val="28"/>
        </w:rPr>
        <w:t>и</w:t>
      </w:r>
      <w:r w:rsidR="002E19EA" w:rsidRPr="00545268">
        <w:rPr>
          <w:rFonts w:ascii="Arial" w:hAnsi="Arial" w:cs="Arial"/>
          <w:sz w:val="28"/>
          <w:szCs w:val="28"/>
        </w:rPr>
        <w:t xml:space="preserve"> композитн</w:t>
      </w:r>
      <w:r w:rsidR="006C7902">
        <w:rPr>
          <w:rFonts w:ascii="Arial" w:hAnsi="Arial" w:cs="Arial"/>
          <w:sz w:val="28"/>
          <w:szCs w:val="28"/>
        </w:rPr>
        <w:t>и</w:t>
      </w:r>
      <w:r w:rsidR="002E19EA" w:rsidRPr="00545268">
        <w:rPr>
          <w:rFonts w:ascii="Arial" w:hAnsi="Arial" w:cs="Arial"/>
          <w:sz w:val="28"/>
          <w:szCs w:val="28"/>
        </w:rPr>
        <w:t xml:space="preserve"> индикатор би</w:t>
      </w:r>
      <w:r w:rsidR="006C7902">
        <w:rPr>
          <w:rFonts w:ascii="Arial" w:hAnsi="Arial" w:cs="Arial"/>
          <w:sz w:val="28"/>
          <w:szCs w:val="28"/>
        </w:rPr>
        <w:t>о утврђен на начин да банкама са вишим степен</w:t>
      </w:r>
      <w:r w:rsidR="00136069">
        <w:rPr>
          <w:rFonts w:ascii="Arial" w:hAnsi="Arial" w:cs="Arial"/>
          <w:sz w:val="28"/>
          <w:szCs w:val="28"/>
        </w:rPr>
        <w:t>ом</w:t>
      </w:r>
      <w:r w:rsidR="006C7902">
        <w:rPr>
          <w:rFonts w:ascii="Arial" w:hAnsi="Arial" w:cs="Arial"/>
          <w:sz w:val="28"/>
          <w:szCs w:val="28"/>
        </w:rPr>
        <w:t xml:space="preserve"> ризичности одговарају </w:t>
      </w:r>
      <w:r w:rsidR="002E19EA" w:rsidRPr="00545268">
        <w:rPr>
          <w:rFonts w:ascii="Arial" w:hAnsi="Arial" w:cs="Arial"/>
          <w:sz w:val="28"/>
          <w:szCs w:val="28"/>
        </w:rPr>
        <w:t>више вредности</w:t>
      </w:r>
      <w:r w:rsidR="006C7902">
        <w:rPr>
          <w:rFonts w:ascii="Arial" w:hAnsi="Arial" w:cs="Arial"/>
          <w:sz w:val="28"/>
          <w:szCs w:val="28"/>
        </w:rPr>
        <w:t>, примењује се следећа трансформација</w:t>
      </w:r>
      <w:r w:rsidR="002E19EA" w:rsidRPr="00545268">
        <w:rPr>
          <w:rFonts w:ascii="Arial" w:hAnsi="Arial" w:cs="Arial"/>
          <w:sz w:val="28"/>
          <w:szCs w:val="28"/>
        </w:rPr>
        <w:t>:</w:t>
      </w:r>
    </w:p>
    <w:p w14:paraId="328948C8" w14:textId="77777777" w:rsidR="002E19EA" w:rsidRPr="00545268" w:rsidRDefault="002E19E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7B9E570" w14:textId="1CC46ECE" w:rsidR="002E19EA" w:rsidRPr="00545268" w:rsidRDefault="00C809AA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AC72CD1" wp14:editId="458BBC52">
            <wp:extent cx="5760720" cy="316865"/>
            <wp:effectExtent l="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3F027" w14:textId="77777777" w:rsidR="002E19EA" w:rsidRPr="00545268" w:rsidRDefault="002E19E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940C250" w14:textId="23E39C11" w:rsidR="002E19EA" w:rsidRPr="00545268" w:rsidRDefault="00955056" w:rsidP="00DF00F1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hAnsi="Arial" w:cs="Arial"/>
          <w:b/>
          <w:color w:val="1A1617"/>
          <w:sz w:val="28"/>
          <w:szCs w:val="28"/>
        </w:rPr>
      </w:pPr>
      <w:r>
        <w:rPr>
          <w:rFonts w:ascii="Arial" w:hAnsi="Arial" w:cs="Arial"/>
          <w:b/>
          <w:color w:val="1A1617"/>
          <w:sz w:val="28"/>
          <w:szCs w:val="28"/>
        </w:rPr>
        <w:t>Обрачун</w:t>
      </w:r>
      <w:r w:rsidRPr="00545268">
        <w:rPr>
          <w:rFonts w:ascii="Arial" w:hAnsi="Arial" w:cs="Arial"/>
          <w:b/>
          <w:color w:val="1A1617"/>
          <w:sz w:val="28"/>
          <w:szCs w:val="28"/>
        </w:rPr>
        <w:t xml:space="preserve"> </w:t>
      </w:r>
      <w:r w:rsidR="002E19EA" w:rsidRPr="00545268">
        <w:rPr>
          <w:rFonts w:ascii="Arial" w:hAnsi="Arial" w:cs="Arial"/>
          <w:b/>
          <w:color w:val="1A1617"/>
          <w:sz w:val="28"/>
          <w:szCs w:val="28"/>
        </w:rPr>
        <w:t>годишњих доприноса</w:t>
      </w:r>
    </w:p>
    <w:p w14:paraId="246B4F1B" w14:textId="77777777" w:rsidR="002E19EA" w:rsidRPr="00545268" w:rsidRDefault="002E19EA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43C682B2" w14:textId="2CD6C9C1" w:rsidR="002E19EA" w:rsidRPr="00545268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>
        <w:rPr>
          <w:rFonts w:ascii="Arial" w:hAnsi="Arial" w:cs="Arial"/>
          <w:bCs/>
          <w:color w:val="1A1617"/>
          <w:sz w:val="28"/>
          <w:szCs w:val="28"/>
        </w:rPr>
        <w:t>1</w:t>
      </w:r>
      <w:r w:rsidR="006235F3">
        <w:rPr>
          <w:rFonts w:ascii="Arial" w:hAnsi="Arial" w:cs="Arial"/>
          <w:bCs/>
          <w:color w:val="1A1617"/>
          <w:sz w:val="28"/>
          <w:szCs w:val="28"/>
        </w:rPr>
        <w:t>1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955056">
        <w:rPr>
          <w:rFonts w:ascii="Arial" w:hAnsi="Arial" w:cs="Arial"/>
          <w:sz w:val="28"/>
          <w:szCs w:val="28"/>
        </w:rPr>
        <w:t>К</w:t>
      </w:r>
      <w:r w:rsidR="002E19EA" w:rsidRPr="00545268">
        <w:rPr>
          <w:rFonts w:ascii="Arial" w:hAnsi="Arial" w:cs="Arial"/>
          <w:sz w:val="28"/>
          <w:szCs w:val="28"/>
        </w:rPr>
        <w:t xml:space="preserve">оначни композитни индикатор </w:t>
      </w:r>
      <w:r w:rsidR="00955056">
        <w:rPr>
          <w:rFonts w:ascii="Arial" w:hAnsi="Arial" w:cs="Arial"/>
          <w:sz w:val="28"/>
          <w:szCs w:val="28"/>
        </w:rPr>
        <w:t>(</w:t>
      </w:r>
      <w:proofErr w:type="spellStart"/>
      <w:r w:rsidR="002E19EA" w:rsidRPr="00814F25">
        <w:rPr>
          <w:rFonts w:ascii="Arial" w:hAnsi="Arial" w:cs="Arial"/>
          <w:b/>
          <w:bCs/>
          <w:i/>
          <w:iCs/>
          <w:sz w:val="28"/>
          <w:szCs w:val="28"/>
        </w:rPr>
        <w:t>FCI</w:t>
      </w:r>
      <w:r w:rsidR="002E19EA" w:rsidRPr="00814F25">
        <w:rPr>
          <w:rFonts w:ascii="Arial" w:hAnsi="Arial" w:cs="Arial"/>
          <w:b/>
          <w:bCs/>
          <w:i/>
          <w:iCs/>
          <w:sz w:val="28"/>
          <w:szCs w:val="28"/>
          <w:vertAlign w:val="subscript"/>
        </w:rPr>
        <w:t>n</w:t>
      </w:r>
      <w:proofErr w:type="spellEnd"/>
      <w:r w:rsidR="00955056">
        <w:rPr>
          <w:rFonts w:ascii="Arial" w:hAnsi="Arial" w:cs="Arial"/>
          <w:sz w:val="28"/>
          <w:szCs w:val="28"/>
        </w:rPr>
        <w:t xml:space="preserve">), </w:t>
      </w:r>
      <w:r w:rsidR="00955056" w:rsidRPr="00955056">
        <w:rPr>
          <w:rFonts w:ascii="Arial" w:hAnsi="Arial" w:cs="Arial"/>
          <w:sz w:val="28"/>
          <w:szCs w:val="28"/>
        </w:rPr>
        <w:t>израчунат у складу са де</w:t>
      </w:r>
      <w:r w:rsidR="00D441B3">
        <w:rPr>
          <w:rFonts w:ascii="Arial" w:hAnsi="Arial" w:cs="Arial"/>
          <w:sz w:val="28"/>
          <w:szCs w:val="28"/>
        </w:rPr>
        <w:t>л</w:t>
      </w:r>
      <w:r w:rsidR="00955056" w:rsidRPr="00955056">
        <w:rPr>
          <w:rFonts w:ascii="Arial" w:hAnsi="Arial" w:cs="Arial"/>
          <w:sz w:val="28"/>
          <w:szCs w:val="28"/>
        </w:rPr>
        <w:t xml:space="preserve">ом </w:t>
      </w:r>
      <w:r w:rsidR="00955056">
        <w:rPr>
          <w:rFonts w:ascii="Arial" w:hAnsi="Arial" w:cs="Arial"/>
          <w:sz w:val="28"/>
          <w:szCs w:val="28"/>
        </w:rPr>
        <w:t>5</w:t>
      </w:r>
      <w:r w:rsidR="00955056" w:rsidRPr="00955056">
        <w:rPr>
          <w:rFonts w:ascii="Arial" w:hAnsi="Arial" w:cs="Arial"/>
          <w:sz w:val="28"/>
          <w:szCs w:val="28"/>
        </w:rPr>
        <w:t xml:space="preserve">. овог </w:t>
      </w:r>
      <w:r w:rsidR="00D441B3">
        <w:rPr>
          <w:rFonts w:ascii="Arial" w:hAnsi="Arial" w:cs="Arial"/>
          <w:sz w:val="28"/>
          <w:szCs w:val="28"/>
        </w:rPr>
        <w:t>п</w:t>
      </w:r>
      <w:r w:rsidR="00955056" w:rsidRPr="00955056">
        <w:rPr>
          <w:rFonts w:ascii="Arial" w:hAnsi="Arial" w:cs="Arial"/>
          <w:sz w:val="28"/>
          <w:szCs w:val="28"/>
        </w:rPr>
        <w:t>рилога</w:t>
      </w:r>
      <w:r w:rsidR="002E19EA" w:rsidRPr="0054526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955056">
        <w:rPr>
          <w:rFonts w:ascii="Arial" w:hAnsi="Arial" w:cs="Arial"/>
          <w:sz w:val="28"/>
          <w:szCs w:val="28"/>
        </w:rPr>
        <w:t>рескалира</w:t>
      </w:r>
      <w:proofErr w:type="spellEnd"/>
      <w:r w:rsidR="00955056">
        <w:rPr>
          <w:rFonts w:ascii="Arial" w:hAnsi="Arial" w:cs="Arial"/>
          <w:sz w:val="28"/>
          <w:szCs w:val="28"/>
        </w:rPr>
        <w:t xml:space="preserve"> се</w:t>
      </w:r>
      <w:r w:rsidR="002E19EA" w:rsidRPr="00545268">
        <w:rPr>
          <w:rFonts w:ascii="Arial" w:hAnsi="Arial" w:cs="Arial"/>
          <w:sz w:val="28"/>
          <w:szCs w:val="28"/>
        </w:rPr>
        <w:t xml:space="preserve"> применом следеће формуле:</w:t>
      </w:r>
    </w:p>
    <w:p w14:paraId="3190AFDF" w14:textId="77777777" w:rsidR="00117C2A" w:rsidRPr="00545268" w:rsidRDefault="00117C2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6B7C340" w14:textId="50806B06" w:rsidR="00117C2A" w:rsidRPr="00545268" w:rsidRDefault="00C809AA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60F4E0D" wp14:editId="23F6DCC6">
            <wp:extent cx="5760720" cy="597535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A1B6F" w14:textId="77777777" w:rsidR="00117C2A" w:rsidRPr="00545268" w:rsidRDefault="00117C2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E8B391B" w14:textId="4706C6FB" w:rsidR="002E19EA" w:rsidRPr="00545268" w:rsidRDefault="00117C2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45268">
        <w:rPr>
          <w:rFonts w:ascii="Arial" w:hAnsi="Arial" w:cs="Arial"/>
          <w:sz w:val="28"/>
          <w:szCs w:val="28"/>
        </w:rPr>
        <w:t>г</w:t>
      </w:r>
      <w:r w:rsidR="002E19EA" w:rsidRPr="00545268">
        <w:rPr>
          <w:rFonts w:ascii="Arial" w:hAnsi="Arial" w:cs="Arial"/>
          <w:sz w:val="28"/>
          <w:szCs w:val="28"/>
        </w:rPr>
        <w:t xml:space="preserve">де су аргументи минималне и максималне функције вредности свих </w:t>
      </w:r>
      <w:r w:rsidRPr="00545268">
        <w:rPr>
          <w:rFonts w:ascii="Arial" w:hAnsi="Arial" w:cs="Arial"/>
          <w:sz w:val="28"/>
          <w:szCs w:val="28"/>
        </w:rPr>
        <w:t xml:space="preserve">банака које уплаћују доприносе у Фонд, за које се израчунава коначни композитни </w:t>
      </w:r>
      <w:r w:rsidR="00955056">
        <w:rPr>
          <w:rFonts w:ascii="Arial" w:hAnsi="Arial" w:cs="Arial"/>
          <w:sz w:val="28"/>
          <w:szCs w:val="28"/>
        </w:rPr>
        <w:t>индикатор</w:t>
      </w:r>
      <w:r w:rsidRPr="00545268">
        <w:rPr>
          <w:rFonts w:ascii="Arial" w:hAnsi="Arial" w:cs="Arial"/>
          <w:sz w:val="28"/>
          <w:szCs w:val="28"/>
        </w:rPr>
        <w:t>.</w:t>
      </w:r>
    </w:p>
    <w:p w14:paraId="7E1A9B18" w14:textId="77777777" w:rsidR="00117C2A" w:rsidRPr="00545268" w:rsidRDefault="00117C2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DBCE333" w14:textId="7BEF83F7" w:rsidR="00117C2A" w:rsidRDefault="0048091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>
        <w:rPr>
          <w:rFonts w:ascii="Arial" w:hAnsi="Arial" w:cs="Arial"/>
          <w:bCs/>
          <w:color w:val="1A1617"/>
          <w:sz w:val="28"/>
          <w:szCs w:val="28"/>
        </w:rPr>
        <w:t>1</w:t>
      </w:r>
      <w:r w:rsidR="006235F3">
        <w:rPr>
          <w:rFonts w:ascii="Arial" w:hAnsi="Arial" w:cs="Arial"/>
          <w:bCs/>
          <w:color w:val="1A1617"/>
          <w:sz w:val="28"/>
          <w:szCs w:val="28"/>
        </w:rPr>
        <w:t>2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>.</w:t>
      </w:r>
      <w:r w:rsidRPr="0048091D">
        <w:rPr>
          <w:rFonts w:ascii="Arial" w:hAnsi="Arial" w:cs="Arial"/>
          <w:bCs/>
          <w:color w:val="1A1617"/>
          <w:sz w:val="28"/>
          <w:szCs w:val="28"/>
        </w:rPr>
        <w:tab/>
      </w:r>
      <w:r w:rsidR="00117C2A" w:rsidRPr="00545268">
        <w:rPr>
          <w:rFonts w:ascii="Arial" w:hAnsi="Arial" w:cs="Arial"/>
          <w:sz w:val="28"/>
          <w:szCs w:val="28"/>
        </w:rPr>
        <w:t xml:space="preserve">Народна банка Србије </w:t>
      </w:r>
      <w:r w:rsidR="00955056">
        <w:rPr>
          <w:rFonts w:ascii="Arial" w:hAnsi="Arial" w:cs="Arial"/>
          <w:sz w:val="28"/>
          <w:szCs w:val="28"/>
        </w:rPr>
        <w:t>утврђује</w:t>
      </w:r>
      <w:r w:rsidR="00955056" w:rsidRPr="00545268">
        <w:rPr>
          <w:rFonts w:ascii="Arial" w:hAnsi="Arial" w:cs="Arial"/>
          <w:sz w:val="28"/>
          <w:szCs w:val="28"/>
        </w:rPr>
        <w:t xml:space="preserve"> </w:t>
      </w:r>
      <w:r w:rsidR="00136069">
        <w:rPr>
          <w:rFonts w:ascii="Arial" w:hAnsi="Arial" w:cs="Arial"/>
          <w:sz w:val="28"/>
          <w:szCs w:val="28"/>
        </w:rPr>
        <w:t>редовни</w:t>
      </w:r>
      <w:r w:rsidR="00C81AF9">
        <w:rPr>
          <w:rFonts w:ascii="Arial" w:hAnsi="Arial" w:cs="Arial"/>
          <w:sz w:val="28"/>
          <w:szCs w:val="28"/>
        </w:rPr>
        <w:t xml:space="preserve"> </w:t>
      </w:r>
      <w:r w:rsidR="00117C2A" w:rsidRPr="00545268">
        <w:rPr>
          <w:rFonts w:ascii="Arial" w:hAnsi="Arial" w:cs="Arial"/>
          <w:sz w:val="28"/>
          <w:szCs w:val="28"/>
        </w:rPr>
        <w:t xml:space="preserve">годишњи допринос </w:t>
      </w:r>
      <w:r w:rsidR="00955056">
        <w:rPr>
          <w:rFonts w:ascii="Arial" w:hAnsi="Arial" w:cs="Arial"/>
          <w:sz w:val="28"/>
          <w:szCs w:val="28"/>
        </w:rPr>
        <w:t xml:space="preserve">за </w:t>
      </w:r>
      <w:r w:rsidR="00117C2A" w:rsidRPr="00545268">
        <w:rPr>
          <w:rFonts w:ascii="Arial" w:hAnsi="Arial" w:cs="Arial"/>
          <w:sz w:val="28"/>
          <w:szCs w:val="28"/>
        </w:rPr>
        <w:t>свак</w:t>
      </w:r>
      <w:r w:rsidR="00955056">
        <w:rPr>
          <w:rFonts w:ascii="Arial" w:hAnsi="Arial" w:cs="Arial"/>
          <w:sz w:val="28"/>
          <w:szCs w:val="28"/>
        </w:rPr>
        <w:t>у</w:t>
      </w:r>
      <w:r w:rsidR="00117C2A" w:rsidRPr="00545268">
        <w:rPr>
          <w:rFonts w:ascii="Arial" w:hAnsi="Arial" w:cs="Arial"/>
          <w:sz w:val="28"/>
          <w:szCs w:val="28"/>
        </w:rPr>
        <w:t xml:space="preserve"> банк</w:t>
      </w:r>
      <w:r w:rsidR="00955056">
        <w:rPr>
          <w:rFonts w:ascii="Arial" w:hAnsi="Arial" w:cs="Arial"/>
          <w:sz w:val="28"/>
          <w:szCs w:val="28"/>
        </w:rPr>
        <w:t>у</w:t>
      </w:r>
      <w:r w:rsidR="00117C2A" w:rsidRPr="00545268">
        <w:rPr>
          <w:rFonts w:ascii="Arial" w:hAnsi="Arial" w:cs="Arial"/>
          <w:sz w:val="28"/>
          <w:szCs w:val="28"/>
        </w:rPr>
        <w:t xml:space="preserve"> </w:t>
      </w:r>
      <w:r w:rsidR="00955056">
        <w:rPr>
          <w:rFonts w:ascii="Arial" w:hAnsi="Arial" w:cs="Arial"/>
          <w:sz w:val="28"/>
          <w:szCs w:val="28"/>
        </w:rPr>
        <w:t>(</w:t>
      </w:r>
      <w:r w:rsidR="00117C2A" w:rsidRPr="00814F25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n</w:t>
      </w:r>
      <w:r w:rsidR="00955056">
        <w:rPr>
          <w:rFonts w:ascii="Arial" w:hAnsi="Arial" w:cs="Arial"/>
          <w:sz w:val="28"/>
          <w:szCs w:val="28"/>
        </w:rPr>
        <w:t>)</w:t>
      </w:r>
      <w:r w:rsidR="00117C2A" w:rsidRPr="00814F25">
        <w:rPr>
          <w:rFonts w:ascii="Arial" w:hAnsi="Arial" w:cs="Arial"/>
          <w:sz w:val="28"/>
          <w:szCs w:val="28"/>
        </w:rPr>
        <w:t xml:space="preserve">, </w:t>
      </w:r>
      <w:r w:rsidR="00117C2A" w:rsidRPr="00545268">
        <w:rPr>
          <w:rFonts w:ascii="Arial" w:hAnsi="Arial" w:cs="Arial"/>
          <w:sz w:val="28"/>
          <w:szCs w:val="28"/>
        </w:rPr>
        <w:t xml:space="preserve">осим </w:t>
      </w:r>
      <w:r w:rsidR="00955056">
        <w:rPr>
          <w:rFonts w:ascii="Arial" w:hAnsi="Arial" w:cs="Arial"/>
          <w:sz w:val="28"/>
          <w:szCs w:val="28"/>
        </w:rPr>
        <w:t xml:space="preserve">за </w:t>
      </w:r>
      <w:r w:rsidR="00117C2A" w:rsidRPr="008F663A">
        <w:rPr>
          <w:rFonts w:ascii="Arial" w:hAnsi="Arial" w:cs="Arial"/>
          <w:sz w:val="28"/>
          <w:szCs w:val="28"/>
        </w:rPr>
        <w:t>банк</w:t>
      </w:r>
      <w:r w:rsidR="00955056" w:rsidRPr="008F663A">
        <w:rPr>
          <w:rFonts w:ascii="Arial" w:hAnsi="Arial" w:cs="Arial"/>
          <w:sz w:val="28"/>
          <w:szCs w:val="28"/>
        </w:rPr>
        <w:t>у</w:t>
      </w:r>
      <w:r w:rsidR="00117C2A" w:rsidRPr="008F663A">
        <w:rPr>
          <w:rFonts w:ascii="Arial" w:hAnsi="Arial" w:cs="Arial"/>
          <w:sz w:val="28"/>
          <w:szCs w:val="28"/>
        </w:rPr>
        <w:t xml:space="preserve"> </w:t>
      </w:r>
      <w:r w:rsidR="00955056" w:rsidRPr="008F663A">
        <w:rPr>
          <w:rFonts w:ascii="Arial" w:hAnsi="Arial" w:cs="Arial"/>
          <w:sz w:val="28"/>
          <w:szCs w:val="28"/>
        </w:rPr>
        <w:t xml:space="preserve">за коју је </w:t>
      </w:r>
      <w:r w:rsidR="00C81AF9">
        <w:rPr>
          <w:rFonts w:ascii="Arial" w:hAnsi="Arial" w:cs="Arial"/>
          <w:sz w:val="28"/>
          <w:szCs w:val="28"/>
        </w:rPr>
        <w:t>редовни</w:t>
      </w:r>
      <w:r w:rsidR="00C81AF9" w:rsidRPr="008F663A">
        <w:rPr>
          <w:rFonts w:ascii="Arial" w:hAnsi="Arial" w:cs="Arial"/>
          <w:sz w:val="28"/>
          <w:szCs w:val="28"/>
        </w:rPr>
        <w:t xml:space="preserve"> </w:t>
      </w:r>
      <w:r w:rsidR="00955056" w:rsidRPr="008F663A">
        <w:rPr>
          <w:rFonts w:ascii="Arial" w:hAnsi="Arial" w:cs="Arial"/>
          <w:sz w:val="28"/>
          <w:szCs w:val="28"/>
        </w:rPr>
        <w:t xml:space="preserve">годишњи допринос утврђен у складу са </w:t>
      </w:r>
      <w:r w:rsidR="00633B89" w:rsidRPr="008F663A">
        <w:rPr>
          <w:rFonts w:ascii="Arial" w:hAnsi="Arial" w:cs="Arial"/>
          <w:sz w:val="28"/>
          <w:szCs w:val="28"/>
        </w:rPr>
        <w:t xml:space="preserve">тачком </w:t>
      </w:r>
      <w:r w:rsidR="008F663A" w:rsidRPr="00814F25">
        <w:rPr>
          <w:rFonts w:ascii="Arial" w:hAnsi="Arial" w:cs="Arial"/>
          <w:sz w:val="28"/>
          <w:szCs w:val="28"/>
        </w:rPr>
        <w:t>2</w:t>
      </w:r>
      <w:r w:rsidR="00146318">
        <w:rPr>
          <w:rFonts w:ascii="Arial" w:hAnsi="Arial" w:cs="Arial"/>
          <w:sz w:val="28"/>
          <w:szCs w:val="28"/>
        </w:rPr>
        <w:t>5</w:t>
      </w:r>
      <w:r w:rsidR="00633B89" w:rsidRPr="008F663A">
        <w:rPr>
          <w:rFonts w:ascii="Arial" w:hAnsi="Arial" w:cs="Arial"/>
          <w:sz w:val="28"/>
          <w:szCs w:val="28"/>
        </w:rPr>
        <w:t xml:space="preserve">. </w:t>
      </w:r>
      <w:r w:rsidR="00955056" w:rsidRPr="008F663A">
        <w:rPr>
          <w:rFonts w:ascii="Arial" w:hAnsi="Arial" w:cs="Arial"/>
          <w:sz w:val="28"/>
          <w:szCs w:val="28"/>
        </w:rPr>
        <w:t>став 2</w:t>
      </w:r>
      <w:r w:rsidR="00D441B3" w:rsidRPr="008F663A">
        <w:rPr>
          <w:rFonts w:ascii="Arial" w:hAnsi="Arial" w:cs="Arial"/>
          <w:sz w:val="28"/>
          <w:szCs w:val="28"/>
        </w:rPr>
        <w:t>.</w:t>
      </w:r>
      <w:r w:rsidR="00955056" w:rsidRPr="008F663A">
        <w:rPr>
          <w:rFonts w:ascii="Arial" w:hAnsi="Arial" w:cs="Arial"/>
          <w:sz w:val="28"/>
          <w:szCs w:val="28"/>
        </w:rPr>
        <w:t xml:space="preserve"> ове </w:t>
      </w:r>
      <w:r w:rsidR="00633B89" w:rsidRPr="008F663A">
        <w:rPr>
          <w:rFonts w:ascii="Arial" w:hAnsi="Arial" w:cs="Arial"/>
          <w:sz w:val="28"/>
          <w:szCs w:val="28"/>
        </w:rPr>
        <w:t xml:space="preserve">одлуке </w:t>
      </w:r>
      <w:r w:rsidR="00117C2A" w:rsidRPr="008F663A">
        <w:rPr>
          <w:rFonts w:ascii="Arial" w:hAnsi="Arial" w:cs="Arial"/>
          <w:sz w:val="28"/>
          <w:szCs w:val="28"/>
        </w:rPr>
        <w:t xml:space="preserve">и </w:t>
      </w:r>
      <w:r w:rsidR="00633B89" w:rsidRPr="008F663A">
        <w:rPr>
          <w:rFonts w:ascii="Arial" w:hAnsi="Arial" w:cs="Arial"/>
          <w:sz w:val="28"/>
          <w:szCs w:val="28"/>
        </w:rPr>
        <w:t xml:space="preserve">за </w:t>
      </w:r>
      <w:r w:rsidR="009C5E36" w:rsidRPr="008F663A">
        <w:rPr>
          <w:rFonts w:ascii="Arial" w:hAnsi="Arial" w:cs="Arial"/>
          <w:sz w:val="28"/>
          <w:szCs w:val="28"/>
        </w:rPr>
        <w:t>фиксн</w:t>
      </w:r>
      <w:r w:rsidR="00633B89" w:rsidRPr="008F663A">
        <w:rPr>
          <w:rFonts w:ascii="Arial" w:hAnsi="Arial" w:cs="Arial"/>
          <w:sz w:val="28"/>
          <w:szCs w:val="28"/>
        </w:rPr>
        <w:t>и</w:t>
      </w:r>
      <w:r w:rsidR="00117C2A" w:rsidRPr="008F663A">
        <w:rPr>
          <w:rFonts w:ascii="Arial" w:hAnsi="Arial" w:cs="Arial"/>
          <w:sz w:val="28"/>
          <w:szCs w:val="28"/>
        </w:rPr>
        <w:t xml:space="preserve"> де</w:t>
      </w:r>
      <w:r w:rsidR="00633B89" w:rsidRPr="008F663A">
        <w:rPr>
          <w:rFonts w:ascii="Arial" w:hAnsi="Arial" w:cs="Arial"/>
          <w:sz w:val="28"/>
          <w:szCs w:val="28"/>
        </w:rPr>
        <w:t>о</w:t>
      </w:r>
      <w:r w:rsidR="00117C2A" w:rsidRPr="008F663A">
        <w:rPr>
          <w:rFonts w:ascii="Arial" w:hAnsi="Arial" w:cs="Arial"/>
          <w:sz w:val="28"/>
          <w:szCs w:val="28"/>
        </w:rPr>
        <w:t xml:space="preserve"> доприноса </w:t>
      </w:r>
      <w:r w:rsidR="00633B89" w:rsidRPr="008F663A">
        <w:rPr>
          <w:rFonts w:ascii="Arial" w:hAnsi="Arial" w:cs="Arial"/>
          <w:sz w:val="28"/>
          <w:szCs w:val="28"/>
        </w:rPr>
        <w:t xml:space="preserve">за </w:t>
      </w:r>
      <w:r w:rsidR="00117C2A" w:rsidRPr="008F663A">
        <w:rPr>
          <w:rFonts w:ascii="Arial" w:hAnsi="Arial" w:cs="Arial"/>
          <w:sz w:val="28"/>
          <w:szCs w:val="28"/>
        </w:rPr>
        <w:t>банк</w:t>
      </w:r>
      <w:r w:rsidR="00633B89" w:rsidRPr="008F663A">
        <w:rPr>
          <w:rFonts w:ascii="Arial" w:hAnsi="Arial" w:cs="Arial"/>
          <w:sz w:val="28"/>
          <w:szCs w:val="28"/>
        </w:rPr>
        <w:t xml:space="preserve">у </w:t>
      </w:r>
      <w:r w:rsidR="00117C2A" w:rsidRPr="008F663A">
        <w:rPr>
          <w:rFonts w:ascii="Arial" w:hAnsi="Arial" w:cs="Arial"/>
          <w:sz w:val="28"/>
          <w:szCs w:val="28"/>
        </w:rPr>
        <w:t>на кој</w:t>
      </w:r>
      <w:r w:rsidR="00633B89" w:rsidRPr="008F663A">
        <w:rPr>
          <w:rFonts w:ascii="Arial" w:hAnsi="Arial" w:cs="Arial"/>
          <w:sz w:val="28"/>
          <w:szCs w:val="28"/>
        </w:rPr>
        <w:t>у</w:t>
      </w:r>
      <w:r w:rsidR="00117C2A" w:rsidRPr="008F663A">
        <w:rPr>
          <w:rFonts w:ascii="Arial" w:hAnsi="Arial" w:cs="Arial"/>
          <w:sz w:val="28"/>
          <w:szCs w:val="28"/>
        </w:rPr>
        <w:t xml:space="preserve"> се примењује тачка</w:t>
      </w:r>
      <w:r w:rsidR="009754DE" w:rsidRPr="008F663A">
        <w:rPr>
          <w:rFonts w:ascii="Arial" w:hAnsi="Arial" w:cs="Arial"/>
          <w:sz w:val="28"/>
          <w:szCs w:val="28"/>
          <w:lang w:val="sr-Latn-RS"/>
        </w:rPr>
        <w:t xml:space="preserve"> </w:t>
      </w:r>
      <w:r w:rsidR="00146318">
        <w:rPr>
          <w:rFonts w:ascii="Arial" w:hAnsi="Arial" w:cs="Arial"/>
          <w:sz w:val="28"/>
          <w:szCs w:val="28"/>
        </w:rPr>
        <w:t>28</w:t>
      </w:r>
      <w:r w:rsidR="009754DE" w:rsidRPr="008F663A">
        <w:rPr>
          <w:rFonts w:ascii="Arial" w:hAnsi="Arial" w:cs="Arial"/>
          <w:sz w:val="28"/>
          <w:szCs w:val="28"/>
        </w:rPr>
        <w:t xml:space="preserve">. </w:t>
      </w:r>
      <w:r w:rsidR="00D441B3" w:rsidRPr="00814F25">
        <w:rPr>
          <w:rFonts w:ascii="Arial" w:hAnsi="Arial" w:cs="Arial"/>
          <w:sz w:val="28"/>
          <w:szCs w:val="28"/>
        </w:rPr>
        <w:t xml:space="preserve">те </w:t>
      </w:r>
      <w:r w:rsidR="009754DE" w:rsidRPr="008F663A">
        <w:rPr>
          <w:rFonts w:ascii="Arial" w:hAnsi="Arial" w:cs="Arial"/>
          <w:sz w:val="28"/>
          <w:szCs w:val="28"/>
        </w:rPr>
        <w:t>одлуке</w:t>
      </w:r>
      <w:r w:rsidR="00633B89" w:rsidRPr="008F663A">
        <w:rPr>
          <w:rFonts w:ascii="Arial" w:hAnsi="Arial" w:cs="Arial"/>
          <w:sz w:val="28"/>
          <w:szCs w:val="28"/>
        </w:rPr>
        <w:t>, на следећи</w:t>
      </w:r>
      <w:r w:rsidR="00633B89">
        <w:rPr>
          <w:rFonts w:ascii="Arial" w:hAnsi="Arial" w:cs="Arial"/>
          <w:sz w:val="28"/>
          <w:szCs w:val="28"/>
        </w:rPr>
        <w:t xml:space="preserve"> начин</w:t>
      </w:r>
      <w:r w:rsidR="009754DE" w:rsidRPr="00545268">
        <w:rPr>
          <w:rFonts w:ascii="Arial" w:hAnsi="Arial" w:cs="Arial"/>
          <w:sz w:val="28"/>
          <w:szCs w:val="28"/>
        </w:rPr>
        <w:t>:</w:t>
      </w:r>
    </w:p>
    <w:p w14:paraId="3265028E" w14:textId="77777777" w:rsidR="00955056" w:rsidRPr="00545268" w:rsidRDefault="00955056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015F4C3F" w14:textId="21FA5234" w:rsidR="00FD1054" w:rsidRPr="00C809AA" w:rsidRDefault="008F5E9B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8F5E9B">
        <w:rPr>
          <w:rFonts w:ascii="Cambria Math" w:hAnsi="Cambria Math"/>
          <w:i/>
          <w:sz w:val="20"/>
          <w:szCs w:val="20"/>
        </w:rPr>
        <w:br/>
      </w:r>
      <w:bookmarkStart w:id="1" w:name="_Hlk199747712"/>
      <w:bookmarkStart w:id="2" w:name="_Hlk199747602"/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=GCI*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n</m:t>
                      </m:r>
                    </m:sub>
                  </m:sSub>
                </m:num>
                <m:den>
                  <m:nary>
                    <m:naryPr>
                      <m:chr m:val="∑"/>
                      <m:limLoc m:val="subSup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p=1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p</m:t>
                          </m:r>
                        </m:sub>
                      </m:sSub>
                    </m:e>
                  </m:nary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sub>
              </m:sSub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p=1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P</m:t>
                              </m:r>
                            </m:sub>
                          </m:sSub>
                        </m:num>
                        <m:den>
                          <m:nary>
                            <m:naryPr>
                              <m:chr m:val="∑"/>
                              <m:limLoc m:val="subSup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q=1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N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q</m:t>
                                  </m:r>
                                </m:sub>
                              </m:sSub>
                            </m:e>
                          </m:nary>
                        </m:den>
                      </m:f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p</m:t>
                          </m:r>
                        </m:sub>
                      </m:sSub>
                    </m:e>
                  </m:d>
                </m:e>
              </m:nary>
            </m:den>
          </m:f>
        </m:oMath>
      </m:oMathPara>
      <w:bookmarkEnd w:id="1"/>
    </w:p>
    <w:bookmarkEnd w:id="2"/>
    <w:p w14:paraId="27CA6670" w14:textId="32AD5DD4" w:rsidR="009754DE" w:rsidRPr="00545268" w:rsidRDefault="009754DE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AC89A20" w14:textId="77777777" w:rsidR="009754DE" w:rsidRPr="00545268" w:rsidRDefault="009754DE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CCD8363" w14:textId="4768AEDD" w:rsidR="009754DE" w:rsidRPr="00545268" w:rsidRDefault="000E2D4D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45268">
        <w:rPr>
          <w:rFonts w:ascii="Arial" w:hAnsi="Arial" w:cs="Arial"/>
          <w:sz w:val="28"/>
          <w:szCs w:val="28"/>
        </w:rPr>
        <w:t>г</w:t>
      </w:r>
      <w:r w:rsidR="009754DE" w:rsidRPr="00545268">
        <w:rPr>
          <w:rFonts w:ascii="Arial" w:hAnsi="Arial" w:cs="Arial"/>
          <w:sz w:val="28"/>
          <w:szCs w:val="28"/>
        </w:rPr>
        <w:t xml:space="preserve">де </w:t>
      </w:r>
      <w:r w:rsidR="002D7C7A">
        <w:rPr>
          <w:rFonts w:ascii="Arial" w:hAnsi="Arial" w:cs="Arial"/>
          <w:sz w:val="28"/>
          <w:szCs w:val="28"/>
        </w:rPr>
        <w:t>су</w:t>
      </w:r>
      <w:r w:rsidR="009754DE" w:rsidRPr="00545268">
        <w:rPr>
          <w:rFonts w:ascii="Arial" w:hAnsi="Arial" w:cs="Arial"/>
          <w:sz w:val="28"/>
          <w:szCs w:val="28"/>
        </w:rPr>
        <w:t>:</w:t>
      </w:r>
    </w:p>
    <w:p w14:paraId="13362491" w14:textId="77777777" w:rsidR="009754DE" w:rsidRPr="00545268" w:rsidRDefault="009754DE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F25799D" w14:textId="75EEF4CE" w:rsidR="009754DE" w:rsidRPr="00545268" w:rsidRDefault="00AA0638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814F25">
        <w:rPr>
          <w:rFonts w:ascii="Arial" w:hAnsi="Arial" w:cs="Arial"/>
          <w:b/>
          <w:bCs/>
          <w:i/>
          <w:iCs/>
          <w:sz w:val="28"/>
          <w:szCs w:val="28"/>
        </w:rPr>
        <w:t>p</w:t>
      </w:r>
      <w:r w:rsidR="009754DE" w:rsidRPr="00545268">
        <w:rPr>
          <w:rFonts w:ascii="Arial" w:hAnsi="Arial" w:cs="Arial"/>
          <w:sz w:val="28"/>
          <w:szCs w:val="28"/>
        </w:rPr>
        <w:t>,</w:t>
      </w:r>
      <w:r w:rsidR="009754DE" w:rsidRPr="00814F25">
        <w:rPr>
          <w:rFonts w:ascii="Arial" w:hAnsi="Arial" w:cs="Arial"/>
          <w:b/>
          <w:bCs/>
          <w:i/>
          <w:iCs/>
          <w:sz w:val="28"/>
          <w:szCs w:val="28"/>
        </w:rPr>
        <w:t>q</w:t>
      </w:r>
      <w:proofErr w:type="spellEnd"/>
      <w:r w:rsidR="009754DE" w:rsidRPr="00545268">
        <w:rPr>
          <w:rFonts w:ascii="Arial" w:hAnsi="Arial" w:cs="Arial"/>
          <w:sz w:val="28"/>
          <w:szCs w:val="28"/>
        </w:rPr>
        <w:t xml:space="preserve"> – индекс банака</w:t>
      </w:r>
      <w:r w:rsidR="00EB1E11">
        <w:rPr>
          <w:rFonts w:ascii="Arial" w:hAnsi="Arial" w:cs="Arial"/>
          <w:sz w:val="28"/>
          <w:szCs w:val="28"/>
        </w:rPr>
        <w:t>,</w:t>
      </w:r>
    </w:p>
    <w:p w14:paraId="7BB73294" w14:textId="3AD6F9D3" w:rsidR="009754DE" w:rsidRPr="00545268" w:rsidRDefault="00C415BA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14F25">
        <w:rPr>
          <w:rFonts w:ascii="Arial" w:hAnsi="Arial" w:cs="Arial"/>
          <w:b/>
          <w:bCs/>
          <w:i/>
          <w:iCs/>
          <w:sz w:val="28"/>
          <w:szCs w:val="28"/>
          <w:lang w:val="sr-Latn-RS"/>
        </w:rPr>
        <w:t>GCI</w:t>
      </w:r>
      <w:r w:rsidR="00AA0638" w:rsidRPr="00545268">
        <w:rPr>
          <w:rFonts w:ascii="Arial" w:hAnsi="Arial" w:cs="Arial"/>
          <w:sz w:val="28"/>
          <w:szCs w:val="28"/>
        </w:rPr>
        <w:t xml:space="preserve"> – годишњи циљ</w:t>
      </w:r>
      <w:r w:rsidR="00633B89">
        <w:rPr>
          <w:rFonts w:ascii="Arial" w:hAnsi="Arial" w:cs="Arial"/>
          <w:sz w:val="28"/>
          <w:szCs w:val="28"/>
        </w:rPr>
        <w:t>а</w:t>
      </w:r>
      <w:r w:rsidR="00AA0638" w:rsidRPr="00545268">
        <w:rPr>
          <w:rFonts w:ascii="Arial" w:hAnsi="Arial" w:cs="Arial"/>
          <w:sz w:val="28"/>
          <w:szCs w:val="28"/>
        </w:rPr>
        <w:t xml:space="preserve">ни </w:t>
      </w:r>
      <w:r w:rsidR="00AA0638" w:rsidRPr="00F902E6">
        <w:rPr>
          <w:rFonts w:ascii="Arial" w:hAnsi="Arial" w:cs="Arial"/>
          <w:sz w:val="28"/>
          <w:szCs w:val="28"/>
        </w:rPr>
        <w:t xml:space="preserve">износ </w:t>
      </w:r>
      <w:r w:rsidR="00F902E6" w:rsidRPr="00F902E6">
        <w:rPr>
          <w:rFonts w:ascii="Arial" w:hAnsi="Arial" w:cs="Arial"/>
          <w:sz w:val="28"/>
          <w:szCs w:val="28"/>
        </w:rPr>
        <w:t>из</w:t>
      </w:r>
      <w:r w:rsidR="00AA0638" w:rsidRPr="00F902E6">
        <w:rPr>
          <w:rFonts w:ascii="Arial" w:hAnsi="Arial" w:cs="Arial"/>
          <w:sz w:val="28"/>
          <w:szCs w:val="28"/>
        </w:rPr>
        <w:t xml:space="preserve"> тачк</w:t>
      </w:r>
      <w:r w:rsidR="00F902E6" w:rsidRPr="00814F25">
        <w:rPr>
          <w:rFonts w:ascii="Arial" w:hAnsi="Arial" w:cs="Arial"/>
          <w:sz w:val="28"/>
          <w:szCs w:val="28"/>
        </w:rPr>
        <w:t>е</w:t>
      </w:r>
      <w:r w:rsidR="00AA0638" w:rsidRPr="00F902E6">
        <w:rPr>
          <w:rFonts w:ascii="Arial" w:hAnsi="Arial" w:cs="Arial"/>
          <w:sz w:val="28"/>
          <w:szCs w:val="28"/>
        </w:rPr>
        <w:t xml:space="preserve"> </w:t>
      </w:r>
      <w:r w:rsidR="0096120D" w:rsidRPr="00F902E6">
        <w:rPr>
          <w:rFonts w:ascii="Arial" w:hAnsi="Arial" w:cs="Arial"/>
          <w:sz w:val="28"/>
          <w:szCs w:val="28"/>
        </w:rPr>
        <w:t>2</w:t>
      </w:r>
      <w:r w:rsidR="00F902E6" w:rsidRPr="00814F25">
        <w:rPr>
          <w:rFonts w:ascii="Arial" w:hAnsi="Arial" w:cs="Arial"/>
          <w:sz w:val="28"/>
          <w:szCs w:val="28"/>
        </w:rPr>
        <w:t>.</w:t>
      </w:r>
      <w:r w:rsidR="0096120D" w:rsidRPr="00F902E6">
        <w:rPr>
          <w:rFonts w:ascii="Arial" w:hAnsi="Arial" w:cs="Arial"/>
          <w:sz w:val="28"/>
          <w:szCs w:val="28"/>
        </w:rPr>
        <w:t xml:space="preserve"> </w:t>
      </w:r>
      <w:r w:rsidR="00F902E6" w:rsidRPr="00814F25">
        <w:rPr>
          <w:rFonts w:ascii="Arial" w:hAnsi="Arial" w:cs="Arial"/>
          <w:sz w:val="28"/>
          <w:szCs w:val="28"/>
        </w:rPr>
        <w:t>став</w:t>
      </w:r>
      <w:r w:rsidR="0096120D" w:rsidRPr="00F902E6">
        <w:rPr>
          <w:rFonts w:ascii="Arial" w:hAnsi="Arial" w:cs="Arial"/>
          <w:sz w:val="28"/>
          <w:szCs w:val="28"/>
        </w:rPr>
        <w:t xml:space="preserve"> 2</w:t>
      </w:r>
      <w:r w:rsidR="00F902E6" w:rsidRPr="00814F25">
        <w:rPr>
          <w:rFonts w:ascii="Arial" w:hAnsi="Arial" w:cs="Arial"/>
          <w:sz w:val="28"/>
          <w:szCs w:val="28"/>
        </w:rPr>
        <w:t>.</w:t>
      </w:r>
      <w:r w:rsidR="001D077E" w:rsidRPr="00F902E6">
        <w:rPr>
          <w:rFonts w:ascii="Arial" w:hAnsi="Arial" w:cs="Arial"/>
          <w:sz w:val="28"/>
          <w:szCs w:val="28"/>
        </w:rPr>
        <w:t xml:space="preserve"> ове одлуке</w:t>
      </w:r>
      <w:r w:rsidR="00AA0638" w:rsidRPr="00F902E6">
        <w:rPr>
          <w:rFonts w:ascii="Arial" w:hAnsi="Arial" w:cs="Arial"/>
          <w:sz w:val="28"/>
          <w:szCs w:val="28"/>
        </w:rPr>
        <w:t>, умањен</w:t>
      </w:r>
      <w:r w:rsidR="00AA0638" w:rsidRPr="00545268">
        <w:rPr>
          <w:rFonts w:ascii="Arial" w:hAnsi="Arial" w:cs="Arial"/>
          <w:sz w:val="28"/>
          <w:szCs w:val="28"/>
        </w:rPr>
        <w:t xml:space="preserve"> за </w:t>
      </w:r>
      <w:r w:rsidR="00633B89">
        <w:rPr>
          <w:rFonts w:ascii="Arial" w:hAnsi="Arial" w:cs="Arial"/>
          <w:sz w:val="28"/>
          <w:szCs w:val="28"/>
        </w:rPr>
        <w:t xml:space="preserve">износ годишњих </w:t>
      </w:r>
      <w:r w:rsidR="00AA0638" w:rsidRPr="00545268">
        <w:rPr>
          <w:rFonts w:ascii="Arial" w:hAnsi="Arial" w:cs="Arial"/>
          <w:sz w:val="28"/>
          <w:szCs w:val="28"/>
        </w:rPr>
        <w:t>допринос</w:t>
      </w:r>
      <w:r w:rsidR="00633B89">
        <w:rPr>
          <w:rFonts w:ascii="Arial" w:hAnsi="Arial" w:cs="Arial"/>
          <w:sz w:val="28"/>
          <w:szCs w:val="28"/>
        </w:rPr>
        <w:t>а</w:t>
      </w:r>
      <w:r w:rsidR="00AA0638" w:rsidRPr="00545268">
        <w:rPr>
          <w:rFonts w:ascii="Arial" w:hAnsi="Arial" w:cs="Arial"/>
          <w:sz w:val="28"/>
          <w:szCs w:val="28"/>
        </w:rPr>
        <w:t xml:space="preserve"> </w:t>
      </w:r>
      <w:r w:rsidR="00633B89">
        <w:rPr>
          <w:rFonts w:ascii="Arial" w:hAnsi="Arial" w:cs="Arial"/>
          <w:sz w:val="28"/>
          <w:szCs w:val="28"/>
        </w:rPr>
        <w:t xml:space="preserve">утврђених </w:t>
      </w:r>
      <w:r w:rsidR="00AA0638" w:rsidRPr="00545268">
        <w:rPr>
          <w:rFonts w:ascii="Arial" w:hAnsi="Arial" w:cs="Arial"/>
          <w:sz w:val="28"/>
          <w:szCs w:val="28"/>
        </w:rPr>
        <w:t xml:space="preserve">у складу са тачком </w:t>
      </w:r>
      <w:r w:rsidR="008F663A" w:rsidRPr="00DD432F">
        <w:rPr>
          <w:rFonts w:ascii="Arial" w:hAnsi="Arial" w:cs="Arial"/>
          <w:sz w:val="28"/>
          <w:szCs w:val="28"/>
        </w:rPr>
        <w:t>2</w:t>
      </w:r>
      <w:r w:rsidR="00146318">
        <w:rPr>
          <w:rFonts w:ascii="Arial" w:hAnsi="Arial" w:cs="Arial"/>
          <w:sz w:val="28"/>
          <w:szCs w:val="28"/>
        </w:rPr>
        <w:t>5</w:t>
      </w:r>
      <w:r w:rsidR="008F663A" w:rsidRPr="008F663A">
        <w:rPr>
          <w:rFonts w:ascii="Arial" w:hAnsi="Arial" w:cs="Arial"/>
          <w:sz w:val="28"/>
          <w:szCs w:val="28"/>
        </w:rPr>
        <w:t xml:space="preserve">. став 2. ове одлуке </w:t>
      </w:r>
      <w:r w:rsidR="00AA0638" w:rsidRPr="00545268">
        <w:rPr>
          <w:rFonts w:ascii="Arial" w:hAnsi="Arial" w:cs="Arial"/>
          <w:sz w:val="28"/>
          <w:szCs w:val="28"/>
        </w:rPr>
        <w:t>и</w:t>
      </w:r>
      <w:r w:rsidR="00633B89">
        <w:rPr>
          <w:rFonts w:ascii="Arial" w:hAnsi="Arial" w:cs="Arial"/>
          <w:sz w:val="28"/>
          <w:szCs w:val="28"/>
        </w:rPr>
        <w:t xml:space="preserve"> за</w:t>
      </w:r>
      <w:r w:rsidR="00AA0638" w:rsidRPr="00545268">
        <w:rPr>
          <w:rFonts w:ascii="Arial" w:hAnsi="Arial" w:cs="Arial"/>
          <w:sz w:val="28"/>
          <w:szCs w:val="28"/>
        </w:rPr>
        <w:t xml:space="preserve"> укупан</w:t>
      </w:r>
      <w:r w:rsidR="00A27287" w:rsidRPr="00545268">
        <w:rPr>
          <w:rFonts w:ascii="Arial" w:hAnsi="Arial" w:cs="Arial"/>
          <w:sz w:val="28"/>
          <w:szCs w:val="28"/>
        </w:rPr>
        <w:t xml:space="preserve"> износ</w:t>
      </w:r>
      <w:r w:rsidR="00AA0638" w:rsidRPr="00545268">
        <w:rPr>
          <w:rFonts w:ascii="Arial" w:hAnsi="Arial" w:cs="Arial"/>
          <w:sz w:val="28"/>
          <w:szCs w:val="28"/>
        </w:rPr>
        <w:t xml:space="preserve"> </w:t>
      </w:r>
      <w:r w:rsidR="00A27287" w:rsidRPr="00545268">
        <w:rPr>
          <w:rFonts w:ascii="Arial" w:hAnsi="Arial" w:cs="Arial"/>
          <w:sz w:val="28"/>
          <w:szCs w:val="28"/>
        </w:rPr>
        <w:t>фиксних доприноса</w:t>
      </w:r>
      <w:r w:rsidR="00AA0638" w:rsidRPr="00545268">
        <w:rPr>
          <w:rFonts w:ascii="Arial" w:hAnsi="Arial" w:cs="Arial"/>
          <w:sz w:val="28"/>
          <w:szCs w:val="28"/>
        </w:rPr>
        <w:t xml:space="preserve"> </w:t>
      </w:r>
      <w:r w:rsidR="00633B89">
        <w:rPr>
          <w:rFonts w:ascii="Arial" w:hAnsi="Arial" w:cs="Arial"/>
          <w:sz w:val="28"/>
          <w:szCs w:val="28"/>
        </w:rPr>
        <w:t xml:space="preserve">обрачунатих </w:t>
      </w:r>
      <w:r w:rsidR="00AA0638" w:rsidRPr="00545268">
        <w:rPr>
          <w:rFonts w:ascii="Arial" w:hAnsi="Arial" w:cs="Arial"/>
          <w:sz w:val="28"/>
          <w:szCs w:val="28"/>
        </w:rPr>
        <w:t xml:space="preserve">у складу са </w:t>
      </w:r>
      <w:r w:rsidR="00AA0638" w:rsidRPr="008F663A">
        <w:rPr>
          <w:rFonts w:ascii="Arial" w:hAnsi="Arial" w:cs="Arial"/>
          <w:sz w:val="28"/>
          <w:szCs w:val="28"/>
        </w:rPr>
        <w:t xml:space="preserve">тачком </w:t>
      </w:r>
      <w:r w:rsidR="00146318">
        <w:rPr>
          <w:rFonts w:ascii="Arial" w:hAnsi="Arial" w:cs="Arial"/>
          <w:sz w:val="28"/>
          <w:szCs w:val="28"/>
        </w:rPr>
        <w:t>28</w:t>
      </w:r>
      <w:r w:rsidR="00633B89" w:rsidRPr="008F663A">
        <w:rPr>
          <w:rFonts w:ascii="Arial" w:hAnsi="Arial" w:cs="Arial"/>
          <w:sz w:val="28"/>
          <w:szCs w:val="28"/>
        </w:rPr>
        <w:t>.</w:t>
      </w:r>
      <w:r w:rsidR="001D077E" w:rsidRPr="008F663A">
        <w:rPr>
          <w:rFonts w:ascii="Arial" w:hAnsi="Arial" w:cs="Arial"/>
          <w:sz w:val="28"/>
          <w:szCs w:val="28"/>
        </w:rPr>
        <w:t xml:space="preserve"> </w:t>
      </w:r>
      <w:r w:rsidR="00633B89" w:rsidRPr="008F663A">
        <w:rPr>
          <w:rFonts w:ascii="Arial" w:hAnsi="Arial" w:cs="Arial"/>
          <w:sz w:val="28"/>
          <w:szCs w:val="28"/>
        </w:rPr>
        <w:t>т</w:t>
      </w:r>
      <w:r w:rsidR="001D077E" w:rsidRPr="008F663A">
        <w:rPr>
          <w:rFonts w:ascii="Arial" w:hAnsi="Arial" w:cs="Arial"/>
          <w:sz w:val="28"/>
          <w:szCs w:val="28"/>
        </w:rPr>
        <w:t>е</w:t>
      </w:r>
      <w:r w:rsidR="001D077E" w:rsidRPr="00545268">
        <w:rPr>
          <w:rFonts w:ascii="Arial" w:hAnsi="Arial" w:cs="Arial"/>
          <w:sz w:val="28"/>
          <w:szCs w:val="28"/>
        </w:rPr>
        <w:t xml:space="preserve"> одлуке</w:t>
      </w:r>
      <w:r w:rsidR="00EB1E11">
        <w:rPr>
          <w:rFonts w:ascii="Arial" w:hAnsi="Arial" w:cs="Arial"/>
          <w:sz w:val="28"/>
          <w:szCs w:val="28"/>
        </w:rPr>
        <w:t xml:space="preserve"> и</w:t>
      </w:r>
    </w:p>
    <w:p w14:paraId="3E1C60F6" w14:textId="51787455" w:rsidR="00AA0638" w:rsidRPr="00545268" w:rsidRDefault="00AA0638" w:rsidP="00DF00F1">
      <w:pPr>
        <w:widowControl w:val="0"/>
        <w:spacing w:after="0" w:line="240" w:lineRule="auto"/>
        <w:jc w:val="both"/>
        <w:rPr>
          <w:rFonts w:ascii="Arial" w:hAnsi="Arial" w:cs="Arial"/>
          <w:sz w:val="28"/>
          <w:szCs w:val="28"/>
          <w:lang w:val="sr-Latn-RS"/>
        </w:rPr>
      </w:pPr>
      <w:proofErr w:type="spellStart"/>
      <w:r w:rsidRPr="00814F25">
        <w:rPr>
          <w:rFonts w:ascii="Arial" w:hAnsi="Arial" w:cs="Arial"/>
          <w:b/>
          <w:bCs/>
          <w:i/>
          <w:iCs/>
          <w:sz w:val="28"/>
          <w:szCs w:val="28"/>
        </w:rPr>
        <w:t>B</w:t>
      </w:r>
      <w:r w:rsidRPr="00814F25">
        <w:rPr>
          <w:rFonts w:ascii="Arial" w:hAnsi="Arial" w:cs="Arial"/>
          <w:b/>
          <w:bCs/>
          <w:i/>
          <w:iCs/>
          <w:sz w:val="28"/>
          <w:szCs w:val="28"/>
          <w:vertAlign w:val="subscript"/>
        </w:rPr>
        <w:t>n</w:t>
      </w:r>
      <w:proofErr w:type="spellEnd"/>
      <w:r w:rsidRPr="00545268">
        <w:rPr>
          <w:rFonts w:ascii="Arial" w:hAnsi="Arial" w:cs="Arial"/>
          <w:sz w:val="28"/>
          <w:szCs w:val="28"/>
        </w:rPr>
        <w:t xml:space="preserve"> – износ основ</w:t>
      </w:r>
      <w:r w:rsidR="00633B89">
        <w:rPr>
          <w:rFonts w:ascii="Arial" w:hAnsi="Arial" w:cs="Arial"/>
          <w:sz w:val="28"/>
          <w:szCs w:val="28"/>
        </w:rPr>
        <w:t>ице</w:t>
      </w:r>
      <w:r w:rsidRPr="00545268">
        <w:rPr>
          <w:rFonts w:ascii="Arial" w:hAnsi="Arial" w:cs="Arial"/>
          <w:sz w:val="28"/>
          <w:szCs w:val="28"/>
        </w:rPr>
        <w:t xml:space="preserve"> </w:t>
      </w:r>
      <w:r w:rsidR="00633B89">
        <w:rPr>
          <w:rFonts w:ascii="Arial" w:hAnsi="Arial" w:cs="Arial"/>
          <w:sz w:val="28"/>
          <w:szCs w:val="28"/>
        </w:rPr>
        <w:t xml:space="preserve">за </w:t>
      </w:r>
      <w:r w:rsidRPr="00545268">
        <w:rPr>
          <w:rFonts w:ascii="Arial" w:hAnsi="Arial" w:cs="Arial"/>
          <w:sz w:val="28"/>
          <w:szCs w:val="28"/>
        </w:rPr>
        <w:t>годишњ</w:t>
      </w:r>
      <w:r w:rsidR="00633B89">
        <w:rPr>
          <w:rFonts w:ascii="Arial" w:hAnsi="Arial" w:cs="Arial"/>
          <w:sz w:val="28"/>
          <w:szCs w:val="28"/>
        </w:rPr>
        <w:t>и</w:t>
      </w:r>
      <w:r w:rsidRPr="00545268">
        <w:rPr>
          <w:rFonts w:ascii="Arial" w:hAnsi="Arial" w:cs="Arial"/>
          <w:sz w:val="28"/>
          <w:szCs w:val="28"/>
        </w:rPr>
        <w:t xml:space="preserve"> допринос банке n, прилагођен у складу са </w:t>
      </w:r>
      <w:proofErr w:type="spellStart"/>
      <w:r w:rsidRPr="00545268">
        <w:rPr>
          <w:rFonts w:ascii="Arial" w:hAnsi="Arial" w:cs="Arial"/>
          <w:sz w:val="28"/>
          <w:szCs w:val="28"/>
        </w:rPr>
        <w:t>тач</w:t>
      </w:r>
      <w:proofErr w:type="spellEnd"/>
      <w:r w:rsidR="009D57BE" w:rsidRPr="00545268">
        <w:rPr>
          <w:rFonts w:ascii="Arial" w:hAnsi="Arial" w:cs="Arial"/>
          <w:sz w:val="28"/>
          <w:szCs w:val="28"/>
        </w:rPr>
        <w:t xml:space="preserve">. </w:t>
      </w:r>
      <w:r w:rsidR="00146318">
        <w:rPr>
          <w:rFonts w:ascii="Arial" w:hAnsi="Arial" w:cs="Arial"/>
          <w:sz w:val="28"/>
          <w:szCs w:val="28"/>
        </w:rPr>
        <w:t>6</w:t>
      </w:r>
      <w:r w:rsidR="009D57BE" w:rsidRPr="00545268">
        <w:rPr>
          <w:rFonts w:ascii="Arial" w:hAnsi="Arial" w:cs="Arial"/>
          <w:sz w:val="28"/>
          <w:szCs w:val="28"/>
        </w:rPr>
        <w:t xml:space="preserve">. до </w:t>
      </w:r>
      <w:r w:rsidR="00146318">
        <w:rPr>
          <w:rFonts w:ascii="Arial" w:hAnsi="Arial" w:cs="Arial"/>
          <w:sz w:val="28"/>
          <w:szCs w:val="28"/>
        </w:rPr>
        <w:t>8</w:t>
      </w:r>
      <w:r w:rsidR="009D57BE" w:rsidRPr="00545268">
        <w:rPr>
          <w:rFonts w:ascii="Arial" w:hAnsi="Arial" w:cs="Arial"/>
          <w:sz w:val="28"/>
          <w:szCs w:val="28"/>
        </w:rPr>
        <w:t>.</w:t>
      </w:r>
      <w:r w:rsidR="001D077E" w:rsidRPr="00545268">
        <w:rPr>
          <w:rFonts w:ascii="Arial" w:hAnsi="Arial" w:cs="Arial"/>
          <w:sz w:val="28"/>
          <w:szCs w:val="28"/>
        </w:rPr>
        <w:t xml:space="preserve"> ове одлуке</w:t>
      </w:r>
      <w:r w:rsidRPr="00545268">
        <w:rPr>
          <w:rFonts w:ascii="Arial" w:hAnsi="Arial" w:cs="Arial"/>
          <w:sz w:val="28"/>
          <w:szCs w:val="28"/>
        </w:rPr>
        <w:t xml:space="preserve">, </w:t>
      </w:r>
      <w:r w:rsidRPr="00D14F30">
        <w:rPr>
          <w:rFonts w:ascii="Arial" w:hAnsi="Arial" w:cs="Arial"/>
          <w:sz w:val="28"/>
          <w:szCs w:val="28"/>
        </w:rPr>
        <w:t xml:space="preserve">не узимајући у обзир </w:t>
      </w:r>
      <w:r w:rsidR="00D14F30" w:rsidRPr="00D14F30">
        <w:rPr>
          <w:rFonts w:ascii="Arial" w:hAnsi="Arial" w:cs="Arial"/>
          <w:sz w:val="28"/>
          <w:szCs w:val="28"/>
        </w:rPr>
        <w:t>примену</w:t>
      </w:r>
      <w:r w:rsidRPr="00D14F30">
        <w:rPr>
          <w:rFonts w:ascii="Arial" w:hAnsi="Arial" w:cs="Arial"/>
          <w:sz w:val="28"/>
          <w:szCs w:val="28"/>
        </w:rPr>
        <w:t xml:space="preserve"> тачк</w:t>
      </w:r>
      <w:r w:rsidR="00EB1E11" w:rsidRPr="00D14F30">
        <w:rPr>
          <w:rFonts w:ascii="Arial" w:hAnsi="Arial" w:cs="Arial"/>
          <w:sz w:val="28"/>
          <w:szCs w:val="28"/>
        </w:rPr>
        <w:t>е</w:t>
      </w:r>
      <w:r w:rsidRPr="00D14F30">
        <w:rPr>
          <w:rFonts w:ascii="Arial" w:hAnsi="Arial" w:cs="Arial"/>
          <w:sz w:val="28"/>
          <w:szCs w:val="28"/>
        </w:rPr>
        <w:t xml:space="preserve"> </w:t>
      </w:r>
      <w:r w:rsidR="00146318">
        <w:rPr>
          <w:rFonts w:ascii="Arial" w:hAnsi="Arial" w:cs="Arial"/>
          <w:sz w:val="28"/>
          <w:szCs w:val="28"/>
        </w:rPr>
        <w:t>28</w:t>
      </w:r>
      <w:r w:rsidRPr="00D14F30">
        <w:rPr>
          <w:rFonts w:ascii="Arial" w:hAnsi="Arial" w:cs="Arial"/>
          <w:sz w:val="28"/>
          <w:szCs w:val="28"/>
        </w:rPr>
        <w:t>.</w:t>
      </w:r>
      <w:r w:rsidR="001D077E" w:rsidRPr="00D14F30">
        <w:rPr>
          <w:rFonts w:ascii="Arial" w:hAnsi="Arial" w:cs="Arial"/>
          <w:sz w:val="28"/>
          <w:szCs w:val="28"/>
        </w:rPr>
        <w:t xml:space="preserve"> ове одлуке.</w:t>
      </w:r>
    </w:p>
    <w:p w14:paraId="32143958" w14:textId="77777777" w:rsidR="00A5231D" w:rsidRPr="00545268" w:rsidRDefault="00A5231D" w:rsidP="00DF00F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sectPr w:rsidR="00A5231D" w:rsidRPr="00545268" w:rsidSect="00DF00F1">
      <w:footerReference w:type="default" r:id="rId18"/>
      <w:pgSz w:w="11907" w:h="16840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2BCBE" w14:textId="77777777" w:rsidR="006D263D" w:rsidRDefault="006D263D" w:rsidP="00EF6677">
      <w:pPr>
        <w:spacing w:after="0" w:line="240" w:lineRule="auto"/>
      </w:pPr>
      <w:r>
        <w:separator/>
      </w:r>
    </w:p>
  </w:endnote>
  <w:endnote w:type="continuationSeparator" w:id="0">
    <w:p w14:paraId="56A0F9D6" w14:textId="77777777" w:rsidR="006D263D" w:rsidRDefault="006D263D" w:rsidP="00EF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D647" w14:textId="77777777" w:rsidR="00615324" w:rsidRDefault="0013784F" w:rsidP="006A310A">
    <w:pPr>
      <w:pStyle w:val="Footer"/>
      <w:jc w:val="center"/>
    </w:pPr>
    <w:r>
      <w:fldChar w:fldCharType="begin"/>
    </w:r>
    <w:r w:rsidR="00F376EF">
      <w:instrText xml:space="preserve"> PAGE   \* MERGEFORMAT </w:instrText>
    </w:r>
    <w:r>
      <w:fldChar w:fldCharType="separate"/>
    </w:r>
    <w:r w:rsidR="0099340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1A783" w14:textId="77777777" w:rsidR="006D263D" w:rsidRDefault="006D263D" w:rsidP="00EF6677">
      <w:pPr>
        <w:spacing w:after="0" w:line="240" w:lineRule="auto"/>
      </w:pPr>
      <w:r>
        <w:separator/>
      </w:r>
    </w:p>
  </w:footnote>
  <w:footnote w:type="continuationSeparator" w:id="0">
    <w:p w14:paraId="636E6533" w14:textId="77777777" w:rsidR="006D263D" w:rsidRDefault="006D263D" w:rsidP="00EF6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2152"/>
    <w:multiLevelType w:val="hybridMultilevel"/>
    <w:tmpl w:val="981E1C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F1318"/>
    <w:multiLevelType w:val="hybridMultilevel"/>
    <w:tmpl w:val="2B9EC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C0A36"/>
    <w:multiLevelType w:val="hybridMultilevel"/>
    <w:tmpl w:val="E708E200"/>
    <w:lvl w:ilvl="0" w:tplc="C13A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B44C3"/>
    <w:multiLevelType w:val="hybridMultilevel"/>
    <w:tmpl w:val="565A1F1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40C2C"/>
    <w:multiLevelType w:val="hybridMultilevel"/>
    <w:tmpl w:val="5994E608"/>
    <w:lvl w:ilvl="0" w:tplc="08B2F97A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629828198">
    <w:abstractNumId w:val="3"/>
  </w:num>
  <w:num w:numId="2" w16cid:durableId="224609307">
    <w:abstractNumId w:val="2"/>
  </w:num>
  <w:num w:numId="3" w16cid:durableId="353456065">
    <w:abstractNumId w:val="4"/>
  </w:num>
  <w:num w:numId="4" w16cid:durableId="1920476552">
    <w:abstractNumId w:val="0"/>
  </w:num>
  <w:num w:numId="5" w16cid:durableId="2130278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77"/>
    <w:rsid w:val="00032E76"/>
    <w:rsid w:val="00065984"/>
    <w:rsid w:val="00065B8C"/>
    <w:rsid w:val="00066111"/>
    <w:rsid w:val="0007098A"/>
    <w:rsid w:val="00077DEF"/>
    <w:rsid w:val="000815DA"/>
    <w:rsid w:val="0009111B"/>
    <w:rsid w:val="00096729"/>
    <w:rsid w:val="00097561"/>
    <w:rsid w:val="000A7AEB"/>
    <w:rsid w:val="000B6942"/>
    <w:rsid w:val="000C5E44"/>
    <w:rsid w:val="000D201E"/>
    <w:rsid w:val="000E176A"/>
    <w:rsid w:val="000E2D4D"/>
    <w:rsid w:val="0010362A"/>
    <w:rsid w:val="001166F9"/>
    <w:rsid w:val="00116DE9"/>
    <w:rsid w:val="00117C2A"/>
    <w:rsid w:val="001238EB"/>
    <w:rsid w:val="00125E08"/>
    <w:rsid w:val="001308A6"/>
    <w:rsid w:val="00133541"/>
    <w:rsid w:val="00136069"/>
    <w:rsid w:val="0013784F"/>
    <w:rsid w:val="00146318"/>
    <w:rsid w:val="00151C3D"/>
    <w:rsid w:val="00155473"/>
    <w:rsid w:val="001572E0"/>
    <w:rsid w:val="00166CE4"/>
    <w:rsid w:val="00171C7A"/>
    <w:rsid w:val="001768DC"/>
    <w:rsid w:val="00192B19"/>
    <w:rsid w:val="001A3473"/>
    <w:rsid w:val="001A36BA"/>
    <w:rsid w:val="001D077E"/>
    <w:rsid w:val="001E3C1D"/>
    <w:rsid w:val="001F4DDD"/>
    <w:rsid w:val="001F6B64"/>
    <w:rsid w:val="001F6FE0"/>
    <w:rsid w:val="001F7670"/>
    <w:rsid w:val="00200DAF"/>
    <w:rsid w:val="00206E06"/>
    <w:rsid w:val="00221FB4"/>
    <w:rsid w:val="002265D7"/>
    <w:rsid w:val="002372EB"/>
    <w:rsid w:val="00244062"/>
    <w:rsid w:val="00244684"/>
    <w:rsid w:val="00267D3A"/>
    <w:rsid w:val="0027259C"/>
    <w:rsid w:val="002B51E2"/>
    <w:rsid w:val="002C64D7"/>
    <w:rsid w:val="002C6A22"/>
    <w:rsid w:val="002D6E32"/>
    <w:rsid w:val="002D7C7A"/>
    <w:rsid w:val="002E19EA"/>
    <w:rsid w:val="0031103F"/>
    <w:rsid w:val="00325F72"/>
    <w:rsid w:val="003262C8"/>
    <w:rsid w:val="0034562D"/>
    <w:rsid w:val="00345F34"/>
    <w:rsid w:val="0035333B"/>
    <w:rsid w:val="003609DC"/>
    <w:rsid w:val="003655A7"/>
    <w:rsid w:val="00365704"/>
    <w:rsid w:val="003718F7"/>
    <w:rsid w:val="0038213F"/>
    <w:rsid w:val="00383938"/>
    <w:rsid w:val="00391120"/>
    <w:rsid w:val="003C203B"/>
    <w:rsid w:val="003C51DC"/>
    <w:rsid w:val="003D6C9A"/>
    <w:rsid w:val="003F7962"/>
    <w:rsid w:val="00416252"/>
    <w:rsid w:val="00422DAF"/>
    <w:rsid w:val="00422FD0"/>
    <w:rsid w:val="00425FE5"/>
    <w:rsid w:val="00431F5B"/>
    <w:rsid w:val="00443D3A"/>
    <w:rsid w:val="0044529C"/>
    <w:rsid w:val="004679D7"/>
    <w:rsid w:val="00471C07"/>
    <w:rsid w:val="00471C17"/>
    <w:rsid w:val="004760FD"/>
    <w:rsid w:val="00477954"/>
    <w:rsid w:val="0048091D"/>
    <w:rsid w:val="0048659D"/>
    <w:rsid w:val="00487529"/>
    <w:rsid w:val="004A03A0"/>
    <w:rsid w:val="004A35C2"/>
    <w:rsid w:val="004B027B"/>
    <w:rsid w:val="004C1025"/>
    <w:rsid w:val="004C58A5"/>
    <w:rsid w:val="00507340"/>
    <w:rsid w:val="00541075"/>
    <w:rsid w:val="00545268"/>
    <w:rsid w:val="00561D15"/>
    <w:rsid w:val="00565DFA"/>
    <w:rsid w:val="005675F8"/>
    <w:rsid w:val="005722F1"/>
    <w:rsid w:val="0057370F"/>
    <w:rsid w:val="005801A3"/>
    <w:rsid w:val="005A2441"/>
    <w:rsid w:val="005A7256"/>
    <w:rsid w:val="005B0403"/>
    <w:rsid w:val="005B5636"/>
    <w:rsid w:val="005E2A12"/>
    <w:rsid w:val="005F3CD7"/>
    <w:rsid w:val="00615324"/>
    <w:rsid w:val="006235F3"/>
    <w:rsid w:val="00633B89"/>
    <w:rsid w:val="00634EB0"/>
    <w:rsid w:val="006404A7"/>
    <w:rsid w:val="00641EFD"/>
    <w:rsid w:val="00665B12"/>
    <w:rsid w:val="0067571D"/>
    <w:rsid w:val="00681E21"/>
    <w:rsid w:val="0068576E"/>
    <w:rsid w:val="00692196"/>
    <w:rsid w:val="006935CD"/>
    <w:rsid w:val="006A143B"/>
    <w:rsid w:val="006A2E77"/>
    <w:rsid w:val="006A310A"/>
    <w:rsid w:val="006C7902"/>
    <w:rsid w:val="006D0919"/>
    <w:rsid w:val="006D096A"/>
    <w:rsid w:val="006D263D"/>
    <w:rsid w:val="0070209C"/>
    <w:rsid w:val="0070249B"/>
    <w:rsid w:val="007051E8"/>
    <w:rsid w:val="00705ABB"/>
    <w:rsid w:val="00712C8B"/>
    <w:rsid w:val="00712EBB"/>
    <w:rsid w:val="0072393C"/>
    <w:rsid w:val="00725831"/>
    <w:rsid w:val="0073628D"/>
    <w:rsid w:val="0074332C"/>
    <w:rsid w:val="007440FD"/>
    <w:rsid w:val="00792F05"/>
    <w:rsid w:val="007976F1"/>
    <w:rsid w:val="007A2DC6"/>
    <w:rsid w:val="007A2EC1"/>
    <w:rsid w:val="007A77CE"/>
    <w:rsid w:val="007B0F2D"/>
    <w:rsid w:val="007C6687"/>
    <w:rsid w:val="007D021C"/>
    <w:rsid w:val="007D7851"/>
    <w:rsid w:val="007F4ED7"/>
    <w:rsid w:val="007F623C"/>
    <w:rsid w:val="00804A71"/>
    <w:rsid w:val="0080504C"/>
    <w:rsid w:val="00814F25"/>
    <w:rsid w:val="00834A35"/>
    <w:rsid w:val="00835465"/>
    <w:rsid w:val="00837CA8"/>
    <w:rsid w:val="00841782"/>
    <w:rsid w:val="00844CE0"/>
    <w:rsid w:val="00847049"/>
    <w:rsid w:val="00852749"/>
    <w:rsid w:val="008541DD"/>
    <w:rsid w:val="00866AC9"/>
    <w:rsid w:val="0088593B"/>
    <w:rsid w:val="00886DE8"/>
    <w:rsid w:val="0089516A"/>
    <w:rsid w:val="00897508"/>
    <w:rsid w:val="008A0501"/>
    <w:rsid w:val="008A5A63"/>
    <w:rsid w:val="008D2060"/>
    <w:rsid w:val="008D5DC2"/>
    <w:rsid w:val="008E357E"/>
    <w:rsid w:val="008E4E61"/>
    <w:rsid w:val="008F5E9B"/>
    <w:rsid w:val="008F663A"/>
    <w:rsid w:val="00912C47"/>
    <w:rsid w:val="00913F7D"/>
    <w:rsid w:val="009202B9"/>
    <w:rsid w:val="0093004F"/>
    <w:rsid w:val="00955056"/>
    <w:rsid w:val="0096120D"/>
    <w:rsid w:val="009754DE"/>
    <w:rsid w:val="00983B58"/>
    <w:rsid w:val="00983D7D"/>
    <w:rsid w:val="0099152F"/>
    <w:rsid w:val="00993409"/>
    <w:rsid w:val="00993481"/>
    <w:rsid w:val="00997052"/>
    <w:rsid w:val="009B3106"/>
    <w:rsid w:val="009B3829"/>
    <w:rsid w:val="009B6499"/>
    <w:rsid w:val="009C5E36"/>
    <w:rsid w:val="009D57BE"/>
    <w:rsid w:val="009D61DB"/>
    <w:rsid w:val="009E25D8"/>
    <w:rsid w:val="00A11101"/>
    <w:rsid w:val="00A15389"/>
    <w:rsid w:val="00A15C8D"/>
    <w:rsid w:val="00A27287"/>
    <w:rsid w:val="00A27E98"/>
    <w:rsid w:val="00A31C4E"/>
    <w:rsid w:val="00A337EA"/>
    <w:rsid w:val="00A37E80"/>
    <w:rsid w:val="00A4169E"/>
    <w:rsid w:val="00A44D2E"/>
    <w:rsid w:val="00A5231D"/>
    <w:rsid w:val="00A62B8D"/>
    <w:rsid w:val="00A91216"/>
    <w:rsid w:val="00A977DC"/>
    <w:rsid w:val="00AA0638"/>
    <w:rsid w:val="00AB2ED1"/>
    <w:rsid w:val="00AC1178"/>
    <w:rsid w:val="00AE1690"/>
    <w:rsid w:val="00AF03AD"/>
    <w:rsid w:val="00AF2ADA"/>
    <w:rsid w:val="00AF630B"/>
    <w:rsid w:val="00B2706A"/>
    <w:rsid w:val="00B465E7"/>
    <w:rsid w:val="00B5019E"/>
    <w:rsid w:val="00B5278F"/>
    <w:rsid w:val="00B54E42"/>
    <w:rsid w:val="00B61320"/>
    <w:rsid w:val="00B70E51"/>
    <w:rsid w:val="00B8027C"/>
    <w:rsid w:val="00B92AF0"/>
    <w:rsid w:val="00BB1403"/>
    <w:rsid w:val="00BD09AF"/>
    <w:rsid w:val="00BD366C"/>
    <w:rsid w:val="00BF545B"/>
    <w:rsid w:val="00C05ACA"/>
    <w:rsid w:val="00C12514"/>
    <w:rsid w:val="00C1703F"/>
    <w:rsid w:val="00C23FA7"/>
    <w:rsid w:val="00C3761C"/>
    <w:rsid w:val="00C415BA"/>
    <w:rsid w:val="00C42C77"/>
    <w:rsid w:val="00C44969"/>
    <w:rsid w:val="00C520F5"/>
    <w:rsid w:val="00C61617"/>
    <w:rsid w:val="00C715EF"/>
    <w:rsid w:val="00C809AA"/>
    <w:rsid w:val="00C81AF9"/>
    <w:rsid w:val="00C81DD2"/>
    <w:rsid w:val="00C83689"/>
    <w:rsid w:val="00C948B5"/>
    <w:rsid w:val="00C97CB3"/>
    <w:rsid w:val="00CB66F4"/>
    <w:rsid w:val="00CC20AF"/>
    <w:rsid w:val="00CC3115"/>
    <w:rsid w:val="00CD066D"/>
    <w:rsid w:val="00CE0D39"/>
    <w:rsid w:val="00CF061B"/>
    <w:rsid w:val="00D028F7"/>
    <w:rsid w:val="00D1105F"/>
    <w:rsid w:val="00D14F30"/>
    <w:rsid w:val="00D22C66"/>
    <w:rsid w:val="00D332BC"/>
    <w:rsid w:val="00D353F2"/>
    <w:rsid w:val="00D441B3"/>
    <w:rsid w:val="00D453EF"/>
    <w:rsid w:val="00D50934"/>
    <w:rsid w:val="00D66325"/>
    <w:rsid w:val="00D774E8"/>
    <w:rsid w:val="00D840FD"/>
    <w:rsid w:val="00D966FC"/>
    <w:rsid w:val="00DA4272"/>
    <w:rsid w:val="00DA53DF"/>
    <w:rsid w:val="00DA7775"/>
    <w:rsid w:val="00DD50D9"/>
    <w:rsid w:val="00DD655F"/>
    <w:rsid w:val="00DE2273"/>
    <w:rsid w:val="00DE5B52"/>
    <w:rsid w:val="00DF00F1"/>
    <w:rsid w:val="00DF7905"/>
    <w:rsid w:val="00E01714"/>
    <w:rsid w:val="00E10D7A"/>
    <w:rsid w:val="00E15CE1"/>
    <w:rsid w:val="00E27EF7"/>
    <w:rsid w:val="00E42C44"/>
    <w:rsid w:val="00E500DC"/>
    <w:rsid w:val="00E53EC6"/>
    <w:rsid w:val="00E5453E"/>
    <w:rsid w:val="00E62FA5"/>
    <w:rsid w:val="00E640D3"/>
    <w:rsid w:val="00E715D5"/>
    <w:rsid w:val="00E90390"/>
    <w:rsid w:val="00E97A38"/>
    <w:rsid w:val="00EA2E43"/>
    <w:rsid w:val="00EA5B1F"/>
    <w:rsid w:val="00EB13EB"/>
    <w:rsid w:val="00EB1E11"/>
    <w:rsid w:val="00EB20F7"/>
    <w:rsid w:val="00ED4B22"/>
    <w:rsid w:val="00EF6677"/>
    <w:rsid w:val="00F00913"/>
    <w:rsid w:val="00F02F41"/>
    <w:rsid w:val="00F20120"/>
    <w:rsid w:val="00F2098A"/>
    <w:rsid w:val="00F25AA5"/>
    <w:rsid w:val="00F26A50"/>
    <w:rsid w:val="00F276FC"/>
    <w:rsid w:val="00F31365"/>
    <w:rsid w:val="00F376EF"/>
    <w:rsid w:val="00F451FE"/>
    <w:rsid w:val="00F47AC3"/>
    <w:rsid w:val="00F61DB4"/>
    <w:rsid w:val="00F61DDB"/>
    <w:rsid w:val="00F7095F"/>
    <w:rsid w:val="00F902E6"/>
    <w:rsid w:val="00F91FE9"/>
    <w:rsid w:val="00F955EE"/>
    <w:rsid w:val="00F96078"/>
    <w:rsid w:val="00FA1255"/>
    <w:rsid w:val="00FB19AF"/>
    <w:rsid w:val="00FC46B4"/>
    <w:rsid w:val="00FD1054"/>
    <w:rsid w:val="00FE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D92EE"/>
  <w15:chartTrackingRefBased/>
  <w15:docId w15:val="{E54E2178-F4A1-4FE5-AF6D-07D189F0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F667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sr-Cyrl-RS" w:eastAsia="en-US"/>
    </w:rPr>
  </w:style>
  <w:style w:type="paragraph" w:styleId="Header">
    <w:name w:val="header"/>
    <w:basedOn w:val="Normal"/>
    <w:link w:val="HeaderChar"/>
    <w:uiPriority w:val="99"/>
    <w:unhideWhenUsed/>
    <w:rsid w:val="00EF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677"/>
  </w:style>
  <w:style w:type="paragraph" w:styleId="Footer">
    <w:name w:val="footer"/>
    <w:basedOn w:val="Normal"/>
    <w:link w:val="FooterChar"/>
    <w:uiPriority w:val="99"/>
    <w:unhideWhenUsed/>
    <w:rsid w:val="00EF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677"/>
  </w:style>
  <w:style w:type="paragraph" w:styleId="ListParagraph">
    <w:name w:val="List Paragraph"/>
    <w:basedOn w:val="Normal"/>
    <w:uiPriority w:val="34"/>
    <w:qFormat/>
    <w:rsid w:val="00561D15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61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1D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61D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D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61D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61D1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EA5B1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link w:val="FootnoteText"/>
    <w:rsid w:val="00EA5B1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EA5B1F"/>
    <w:rPr>
      <w:vertAlign w:val="superscript"/>
    </w:rPr>
  </w:style>
  <w:style w:type="table" w:styleId="TableGrid">
    <w:name w:val="Table Grid"/>
    <w:basedOn w:val="TableNormal"/>
    <w:uiPriority w:val="59"/>
    <w:rsid w:val="001F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541DD"/>
    <w:rPr>
      <w:sz w:val="22"/>
      <w:szCs w:val="22"/>
      <w:lang w:val="sr-Cyrl-R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DDB2-82BA-499C-BE7F-E5D7691F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1043</Words>
  <Characters>6054</Characters>
  <Application>Microsoft Office Word</Application>
  <DocSecurity>0</DocSecurity>
  <Lines>312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ОПК</dc:creator>
  <cp:keywords> [SEC=JAVNO]</cp:keywords>
  <cp:lastModifiedBy>Sladjana Boskovic</cp:lastModifiedBy>
  <cp:revision>3</cp:revision>
  <cp:lastPrinted>2025-06-10T07:42:00Z</cp:lastPrinted>
  <dcterms:created xsi:type="dcterms:W3CDTF">2025-06-10T16:27:00Z</dcterms:created>
  <dcterms:modified xsi:type="dcterms:W3CDTF">2025-06-10T16:30:00Z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1708BD883D69F85C9CDA4C99693C78DB085D667F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3F137E736FA66991CCAD9E52A8485D2821572FB8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0757295C86C540A9A429037D60FA7AA8</vt:lpwstr>
  </property>
  <property fmtid="{D5CDD505-2E9C-101B-9397-08002B2CF9AE}" pid="16" name="PM_OriginationTimeStamp">
    <vt:lpwstr>2024-10-07T11:14:48Z</vt:lpwstr>
  </property>
  <property fmtid="{D5CDD505-2E9C-101B-9397-08002B2CF9AE}" pid="17" name="PM_Hash_Version">
    <vt:lpwstr>2016.1</vt:lpwstr>
  </property>
  <property fmtid="{D5CDD505-2E9C-101B-9397-08002B2CF9AE}" pid="18" name="PM_Hash_Salt_Prev">
    <vt:lpwstr>CD8806DEC2EFCC41A087AF37D20337CE</vt:lpwstr>
  </property>
  <property fmtid="{D5CDD505-2E9C-101B-9397-08002B2CF9AE}" pid="19" name="PM_Hash_Salt">
    <vt:lpwstr>CD8806DEC2EFCC41A087AF37D20337CE</vt:lpwstr>
  </property>
</Properties>
</file>