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34C16" w14:textId="3B8EB62B" w:rsidR="00B6616D" w:rsidRPr="009D0B6C" w:rsidRDefault="00590632" w:rsidP="006F4848">
      <w:pPr>
        <w:jc w:val="right"/>
        <w:rPr>
          <w:lang w:val="en-GB"/>
        </w:rPr>
      </w:pPr>
      <w:r w:rsidRPr="009D0B6C">
        <w:rPr>
          <w:rFonts w:ascii="Arial" w:hAnsi="Arial" w:cs="Arial"/>
          <w:b/>
          <w:sz w:val="28"/>
          <w:szCs w:val="28"/>
          <w:lang w:val="en-GB"/>
        </w:rPr>
        <w:t>Annex</w:t>
      </w:r>
      <w:r w:rsidR="00B6616D" w:rsidRPr="009D0B6C">
        <w:rPr>
          <w:rFonts w:ascii="Arial" w:hAnsi="Arial" w:cs="Arial"/>
          <w:b/>
          <w:sz w:val="28"/>
          <w:szCs w:val="28"/>
          <w:lang w:val="en-GB"/>
        </w:rPr>
        <w:t xml:space="preserve"> </w:t>
      </w:r>
      <w:r w:rsidR="006B725A" w:rsidRPr="009D0B6C">
        <w:rPr>
          <w:rFonts w:ascii="Arial" w:hAnsi="Arial" w:cs="Arial"/>
          <w:b/>
          <w:sz w:val="28"/>
          <w:szCs w:val="28"/>
          <w:lang w:val="en-GB"/>
        </w:rPr>
        <w:t>2</w:t>
      </w:r>
    </w:p>
    <w:p w14:paraId="612AA2BC" w14:textId="2759DC90" w:rsidR="00B6616D" w:rsidRPr="009D0B6C" w:rsidRDefault="00590632" w:rsidP="006F4848">
      <w:pPr>
        <w:pStyle w:val="Naslov1"/>
        <w:jc w:val="center"/>
        <w:rPr>
          <w:rFonts w:ascii="Arial" w:hAnsi="Arial" w:cs="Arial"/>
          <w:b/>
          <w:sz w:val="28"/>
          <w:szCs w:val="28"/>
          <w:lang w:val="en-GB"/>
        </w:rPr>
      </w:pPr>
      <w:r w:rsidRPr="009D0B6C">
        <w:rPr>
          <w:rFonts w:ascii="Arial" w:hAnsi="Arial" w:cs="Arial"/>
          <w:b/>
          <w:sz w:val="28"/>
          <w:szCs w:val="28"/>
          <w:lang w:val="en-GB"/>
        </w:rPr>
        <w:t>TYPES OF DERIVATIVES</w:t>
      </w:r>
    </w:p>
    <w:p w14:paraId="3BB1EFB9" w14:textId="77777777" w:rsidR="00B6616D" w:rsidRPr="009D0B6C" w:rsidRDefault="00B6616D" w:rsidP="006F4848">
      <w:pPr>
        <w:pStyle w:val="Default"/>
        <w:rPr>
          <w:rFonts w:ascii="Arial" w:hAnsi="Arial" w:cs="Arial"/>
          <w:color w:val="auto"/>
          <w:sz w:val="28"/>
          <w:szCs w:val="28"/>
          <w:lang w:val="en-GB"/>
        </w:rPr>
      </w:pPr>
    </w:p>
    <w:p w14:paraId="3446557D" w14:textId="760B7641" w:rsidR="00B6616D" w:rsidRPr="009D0B6C" w:rsidRDefault="00B6616D" w:rsidP="006F4848">
      <w:pPr>
        <w:autoSpaceDE w:val="0"/>
        <w:autoSpaceDN w:val="0"/>
        <w:adjustRightInd w:val="0"/>
        <w:jc w:val="both"/>
        <w:rPr>
          <w:rFonts w:ascii="Arial" w:hAnsi="Arial" w:cs="Arial"/>
          <w:sz w:val="28"/>
          <w:szCs w:val="28"/>
          <w:lang w:val="en-GB"/>
        </w:rPr>
      </w:pPr>
      <w:r w:rsidRPr="009D0B6C">
        <w:rPr>
          <w:rFonts w:ascii="Arial" w:hAnsi="Arial" w:cs="Arial"/>
          <w:sz w:val="28"/>
          <w:szCs w:val="28"/>
          <w:lang w:val="en-GB"/>
        </w:rPr>
        <w:tab/>
        <w:t>1.</w:t>
      </w:r>
      <w:r w:rsidRPr="009D0B6C">
        <w:rPr>
          <w:rFonts w:ascii="Arial" w:hAnsi="Arial" w:cs="Arial"/>
          <w:sz w:val="28"/>
          <w:szCs w:val="28"/>
          <w:lang w:val="en-GB"/>
        </w:rPr>
        <w:tab/>
      </w:r>
      <w:r w:rsidR="00590632" w:rsidRPr="009D0B6C">
        <w:rPr>
          <w:rFonts w:ascii="Arial" w:hAnsi="Arial" w:cs="Arial"/>
          <w:sz w:val="28"/>
          <w:szCs w:val="28"/>
          <w:lang w:val="en-GB"/>
        </w:rPr>
        <w:t>Interest-rate contracts</w:t>
      </w:r>
      <w:r w:rsidRPr="009D0B6C">
        <w:rPr>
          <w:rFonts w:ascii="Arial" w:hAnsi="Arial" w:cs="Arial"/>
          <w:sz w:val="28"/>
          <w:szCs w:val="28"/>
          <w:lang w:val="en-GB"/>
        </w:rPr>
        <w:t>:</w:t>
      </w:r>
    </w:p>
    <w:p w14:paraId="094A689E" w14:textId="77777777" w:rsidR="00B6616D" w:rsidRPr="009D0B6C" w:rsidRDefault="00B6616D" w:rsidP="006F4848">
      <w:pPr>
        <w:pStyle w:val="Default"/>
        <w:rPr>
          <w:rFonts w:ascii="Arial" w:hAnsi="Arial" w:cs="Arial"/>
          <w:color w:val="auto"/>
          <w:sz w:val="28"/>
          <w:szCs w:val="28"/>
          <w:lang w:val="en-GB"/>
        </w:rPr>
      </w:pPr>
    </w:p>
    <w:p w14:paraId="069C1E77" w14:textId="71E9CEF3" w:rsidR="00B6616D" w:rsidRPr="009D0B6C" w:rsidRDefault="00722B9B" w:rsidP="00722B9B">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single-currency interest rate swaps</w:t>
      </w:r>
      <w:r w:rsidR="00342F82" w:rsidRPr="009D0B6C">
        <w:rPr>
          <w:rFonts w:ascii="Arial" w:hAnsi="Arial" w:cs="Arial"/>
          <w:sz w:val="28"/>
          <w:szCs w:val="28"/>
          <w:lang w:val="en-GB"/>
        </w:rPr>
        <w:t>,</w:t>
      </w:r>
      <w:r w:rsidR="00B6616D" w:rsidRPr="009D0B6C">
        <w:rPr>
          <w:rFonts w:ascii="Arial" w:hAnsi="Arial" w:cs="Arial"/>
          <w:sz w:val="28"/>
          <w:szCs w:val="28"/>
          <w:lang w:val="en-GB"/>
        </w:rPr>
        <w:t xml:space="preserve"> </w:t>
      </w:r>
    </w:p>
    <w:p w14:paraId="2E495D06" w14:textId="5C8FB189" w:rsidR="00B6616D" w:rsidRPr="009D0B6C" w:rsidRDefault="00722B9B" w:rsidP="00722B9B">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basis-swaps</w:t>
      </w:r>
      <w:r w:rsidR="00342F82" w:rsidRPr="009D0B6C">
        <w:rPr>
          <w:rFonts w:ascii="Arial" w:hAnsi="Arial" w:cs="Arial"/>
          <w:sz w:val="28"/>
          <w:szCs w:val="28"/>
          <w:lang w:val="en-GB"/>
        </w:rPr>
        <w:t>,</w:t>
      </w:r>
      <w:r w:rsidR="00B6616D" w:rsidRPr="009D0B6C">
        <w:rPr>
          <w:rFonts w:ascii="Arial" w:hAnsi="Arial" w:cs="Arial"/>
          <w:sz w:val="28"/>
          <w:szCs w:val="28"/>
          <w:lang w:val="en-GB"/>
        </w:rPr>
        <w:t xml:space="preserve"> </w:t>
      </w:r>
    </w:p>
    <w:p w14:paraId="4F8285F2" w14:textId="2F5888DC" w:rsidR="00B6616D" w:rsidRPr="009D0B6C" w:rsidRDefault="00722B9B" w:rsidP="00722B9B">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forward rate agreements</w:t>
      </w:r>
      <w:r w:rsidR="00342F82" w:rsidRPr="009D0B6C">
        <w:rPr>
          <w:rFonts w:ascii="Arial" w:hAnsi="Arial" w:cs="Arial"/>
          <w:sz w:val="28"/>
          <w:szCs w:val="28"/>
          <w:lang w:val="en-GB"/>
        </w:rPr>
        <w:t>,</w:t>
      </w:r>
      <w:r w:rsidR="00B6616D" w:rsidRPr="009D0B6C">
        <w:rPr>
          <w:rFonts w:ascii="Arial" w:hAnsi="Arial" w:cs="Arial"/>
          <w:sz w:val="28"/>
          <w:szCs w:val="28"/>
          <w:lang w:val="en-GB"/>
        </w:rPr>
        <w:t xml:space="preserve"> </w:t>
      </w:r>
    </w:p>
    <w:p w14:paraId="5D597BCA" w14:textId="15D39503" w:rsidR="00B6616D" w:rsidRPr="009D0B6C" w:rsidRDefault="00722B9B" w:rsidP="00722B9B">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interest-rate futures</w:t>
      </w:r>
      <w:r w:rsidR="00342F82" w:rsidRPr="009D0B6C">
        <w:rPr>
          <w:rFonts w:ascii="Arial" w:hAnsi="Arial" w:cs="Arial"/>
          <w:sz w:val="28"/>
          <w:szCs w:val="28"/>
          <w:lang w:val="en-GB"/>
        </w:rPr>
        <w:t>,</w:t>
      </w:r>
      <w:r w:rsidR="00B6616D" w:rsidRPr="009D0B6C">
        <w:rPr>
          <w:rFonts w:ascii="Arial" w:hAnsi="Arial" w:cs="Arial"/>
          <w:sz w:val="28"/>
          <w:szCs w:val="28"/>
          <w:lang w:val="en-GB"/>
        </w:rPr>
        <w:t xml:space="preserve"> </w:t>
      </w:r>
    </w:p>
    <w:p w14:paraId="4CEEDD48" w14:textId="0BCE3BD1" w:rsidR="00B6616D" w:rsidRPr="009D0B6C" w:rsidRDefault="00722B9B" w:rsidP="00722B9B">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interest-rate options purchased</w:t>
      </w:r>
      <w:r w:rsidR="00342F82" w:rsidRPr="009D0B6C">
        <w:rPr>
          <w:rFonts w:ascii="Arial" w:hAnsi="Arial" w:cs="Arial"/>
          <w:sz w:val="28"/>
          <w:szCs w:val="28"/>
          <w:lang w:val="en-GB"/>
        </w:rPr>
        <w:t xml:space="preserve"> </w:t>
      </w:r>
      <w:r w:rsidR="00590632" w:rsidRPr="009D0B6C">
        <w:rPr>
          <w:rFonts w:ascii="Arial" w:hAnsi="Arial" w:cs="Arial"/>
          <w:sz w:val="28"/>
          <w:szCs w:val="28"/>
          <w:lang w:val="en-GB"/>
        </w:rPr>
        <w:t>and</w:t>
      </w:r>
    </w:p>
    <w:p w14:paraId="02ABF863" w14:textId="2CD48EDD" w:rsidR="00B6616D" w:rsidRPr="009D0B6C" w:rsidRDefault="00722B9B" w:rsidP="00722B9B">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other contracts of similar nature</w:t>
      </w:r>
      <w:r w:rsidR="00B6616D" w:rsidRPr="009D0B6C">
        <w:rPr>
          <w:rFonts w:ascii="Arial" w:hAnsi="Arial" w:cs="Arial"/>
          <w:sz w:val="28"/>
          <w:szCs w:val="28"/>
          <w:lang w:val="en-GB"/>
        </w:rPr>
        <w:t>.</w:t>
      </w:r>
    </w:p>
    <w:p w14:paraId="1A64B0A7" w14:textId="77777777" w:rsidR="00B6616D" w:rsidRPr="009D0B6C" w:rsidRDefault="00B6616D" w:rsidP="006F4848">
      <w:pPr>
        <w:ind w:firstLine="1418"/>
        <w:jc w:val="both"/>
        <w:rPr>
          <w:rFonts w:ascii="Arial" w:hAnsi="Arial" w:cs="Arial"/>
          <w:sz w:val="28"/>
          <w:szCs w:val="28"/>
          <w:lang w:val="en-GB"/>
        </w:rPr>
      </w:pPr>
    </w:p>
    <w:p w14:paraId="23D9C379" w14:textId="6D11FCF1" w:rsidR="00B6616D" w:rsidRPr="009D0B6C" w:rsidRDefault="00B6616D" w:rsidP="006F4848">
      <w:pPr>
        <w:autoSpaceDE w:val="0"/>
        <w:autoSpaceDN w:val="0"/>
        <w:adjustRightInd w:val="0"/>
        <w:jc w:val="both"/>
        <w:rPr>
          <w:rFonts w:ascii="Arial" w:hAnsi="Arial" w:cs="Arial"/>
          <w:sz w:val="28"/>
          <w:szCs w:val="28"/>
          <w:lang w:val="en-GB"/>
        </w:rPr>
      </w:pPr>
      <w:r w:rsidRPr="009D0B6C">
        <w:rPr>
          <w:rFonts w:ascii="Arial" w:hAnsi="Arial" w:cs="Arial"/>
          <w:sz w:val="28"/>
          <w:szCs w:val="28"/>
          <w:lang w:val="en-GB"/>
        </w:rPr>
        <w:tab/>
        <w:t>2.</w:t>
      </w:r>
      <w:r w:rsidRPr="009D0B6C">
        <w:rPr>
          <w:rFonts w:ascii="Arial" w:hAnsi="Arial" w:cs="Arial"/>
          <w:sz w:val="28"/>
          <w:szCs w:val="28"/>
          <w:lang w:val="en-GB"/>
        </w:rPr>
        <w:tab/>
      </w:r>
      <w:r w:rsidR="00590632" w:rsidRPr="009D0B6C">
        <w:rPr>
          <w:rFonts w:ascii="Arial" w:hAnsi="Arial" w:cs="Arial"/>
          <w:sz w:val="28"/>
          <w:szCs w:val="28"/>
          <w:lang w:val="en-GB"/>
        </w:rPr>
        <w:t>Foreign-exchange contracts and contracts concerning gold</w:t>
      </w:r>
      <w:r w:rsidRPr="009D0B6C">
        <w:rPr>
          <w:rFonts w:ascii="Arial" w:hAnsi="Arial" w:cs="Arial"/>
          <w:sz w:val="28"/>
          <w:szCs w:val="28"/>
          <w:lang w:val="en-GB"/>
        </w:rPr>
        <w:t>:</w:t>
      </w:r>
    </w:p>
    <w:p w14:paraId="742CCA67" w14:textId="77777777" w:rsidR="00B6616D" w:rsidRPr="009D0B6C" w:rsidRDefault="00B6616D" w:rsidP="006F4848">
      <w:pPr>
        <w:jc w:val="both"/>
        <w:rPr>
          <w:rFonts w:ascii="Arial" w:hAnsi="Arial" w:cs="Arial"/>
          <w:sz w:val="28"/>
          <w:szCs w:val="28"/>
          <w:lang w:val="en-GB"/>
        </w:rPr>
      </w:pPr>
    </w:p>
    <w:p w14:paraId="755DBC43" w14:textId="307137AC" w:rsidR="00B6616D"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cross-currency interest-rate swaps</w:t>
      </w:r>
      <w:r w:rsidR="00342F82" w:rsidRPr="009D0B6C">
        <w:rPr>
          <w:rFonts w:ascii="Arial" w:hAnsi="Arial" w:cs="Arial"/>
          <w:sz w:val="28"/>
          <w:szCs w:val="28"/>
          <w:lang w:val="en-GB"/>
        </w:rPr>
        <w:t>,</w:t>
      </w:r>
      <w:r w:rsidRPr="009D0B6C">
        <w:rPr>
          <w:rFonts w:ascii="Arial" w:hAnsi="Arial" w:cs="Arial"/>
          <w:sz w:val="28"/>
          <w:szCs w:val="28"/>
          <w:lang w:val="en-GB"/>
        </w:rPr>
        <w:t xml:space="preserve"> </w:t>
      </w:r>
    </w:p>
    <w:p w14:paraId="280C5771" w14:textId="4A52033C" w:rsidR="00B6616D"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forward foreign-exchange contracts</w:t>
      </w:r>
      <w:r w:rsidR="00342F82" w:rsidRPr="009D0B6C">
        <w:rPr>
          <w:rFonts w:ascii="Arial" w:hAnsi="Arial" w:cs="Arial"/>
          <w:sz w:val="28"/>
          <w:szCs w:val="28"/>
          <w:lang w:val="en-GB"/>
        </w:rPr>
        <w:t>,</w:t>
      </w:r>
      <w:r w:rsidRPr="009D0B6C">
        <w:rPr>
          <w:rFonts w:ascii="Arial" w:hAnsi="Arial" w:cs="Arial"/>
          <w:sz w:val="28"/>
          <w:szCs w:val="28"/>
          <w:lang w:val="en-GB"/>
        </w:rPr>
        <w:t xml:space="preserve"> </w:t>
      </w:r>
    </w:p>
    <w:p w14:paraId="7C8362B0" w14:textId="002D4D06" w:rsidR="00B6616D"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currency futures</w:t>
      </w:r>
      <w:r w:rsidR="00342F82" w:rsidRPr="009D0B6C">
        <w:rPr>
          <w:rFonts w:ascii="Arial" w:hAnsi="Arial" w:cs="Arial"/>
          <w:sz w:val="28"/>
          <w:szCs w:val="28"/>
          <w:lang w:val="en-GB"/>
        </w:rPr>
        <w:t>,</w:t>
      </w:r>
      <w:r w:rsidRPr="009D0B6C">
        <w:rPr>
          <w:rFonts w:ascii="Arial" w:hAnsi="Arial" w:cs="Arial"/>
          <w:sz w:val="28"/>
          <w:szCs w:val="28"/>
          <w:lang w:val="en-GB"/>
        </w:rPr>
        <w:t xml:space="preserve"> </w:t>
      </w:r>
    </w:p>
    <w:p w14:paraId="576DF591" w14:textId="600586FC" w:rsidR="00B6616D"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currency options purchased</w:t>
      </w:r>
      <w:r w:rsidR="00327DDE" w:rsidRPr="009D0B6C">
        <w:rPr>
          <w:rFonts w:ascii="Arial" w:hAnsi="Arial" w:cs="Arial"/>
          <w:sz w:val="28"/>
          <w:szCs w:val="28"/>
          <w:lang w:val="en-GB"/>
        </w:rPr>
        <w:t>,</w:t>
      </w:r>
      <w:r w:rsidRPr="009D0B6C">
        <w:rPr>
          <w:rFonts w:ascii="Arial" w:hAnsi="Arial" w:cs="Arial"/>
          <w:sz w:val="28"/>
          <w:szCs w:val="28"/>
          <w:lang w:val="en-GB"/>
        </w:rPr>
        <w:t xml:space="preserve"> </w:t>
      </w:r>
    </w:p>
    <w:p w14:paraId="3072B0CA" w14:textId="7BE49296" w:rsidR="00B6616D"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other contracts of a similar nature</w:t>
      </w:r>
      <w:r w:rsidR="00327DDE" w:rsidRPr="009D0B6C">
        <w:rPr>
          <w:rFonts w:ascii="Arial" w:hAnsi="Arial" w:cs="Arial"/>
          <w:sz w:val="28"/>
          <w:szCs w:val="28"/>
          <w:lang w:val="en-GB"/>
        </w:rPr>
        <w:t>,</w:t>
      </w:r>
    </w:p>
    <w:p w14:paraId="3AF50B8D" w14:textId="4F35F5C4" w:rsidR="00B6616D"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590632" w:rsidRPr="009D0B6C">
        <w:rPr>
          <w:rFonts w:ascii="Arial" w:hAnsi="Arial" w:cs="Arial"/>
          <w:sz w:val="28"/>
          <w:szCs w:val="28"/>
          <w:lang w:val="en-GB"/>
        </w:rPr>
        <w:t>contracts concerning gold of a nature similar to indents one to five of this Section.</w:t>
      </w:r>
    </w:p>
    <w:p w14:paraId="65C8F5B7" w14:textId="77777777" w:rsidR="00B6616D" w:rsidRPr="009D0B6C" w:rsidRDefault="00B6616D" w:rsidP="006F4848">
      <w:pPr>
        <w:pStyle w:val="Default"/>
        <w:jc w:val="both"/>
        <w:rPr>
          <w:rFonts w:ascii="Arial" w:hAnsi="Arial" w:cs="Arial"/>
          <w:color w:val="auto"/>
          <w:sz w:val="28"/>
          <w:szCs w:val="28"/>
          <w:lang w:val="en-GB"/>
        </w:rPr>
      </w:pPr>
    </w:p>
    <w:p w14:paraId="19241718" w14:textId="0A0FAE88" w:rsidR="00590632" w:rsidRPr="009D0B6C" w:rsidRDefault="00B6616D" w:rsidP="006F4848">
      <w:pPr>
        <w:autoSpaceDE w:val="0"/>
        <w:autoSpaceDN w:val="0"/>
        <w:adjustRightInd w:val="0"/>
        <w:jc w:val="both"/>
        <w:rPr>
          <w:rFonts w:ascii="Arial" w:hAnsi="Arial" w:cs="Arial"/>
          <w:sz w:val="28"/>
          <w:szCs w:val="28"/>
          <w:lang w:val="en-GB"/>
        </w:rPr>
      </w:pPr>
      <w:r w:rsidRPr="009D0B6C">
        <w:rPr>
          <w:rFonts w:ascii="Arial" w:hAnsi="Arial" w:cs="Arial"/>
          <w:sz w:val="28"/>
          <w:szCs w:val="28"/>
          <w:lang w:val="en-GB"/>
        </w:rPr>
        <w:tab/>
        <w:t>3.</w:t>
      </w:r>
      <w:r w:rsidRPr="009D0B6C">
        <w:rPr>
          <w:rFonts w:ascii="Arial" w:hAnsi="Arial" w:cs="Arial"/>
          <w:sz w:val="28"/>
          <w:szCs w:val="28"/>
          <w:lang w:val="en-GB"/>
        </w:rPr>
        <w:tab/>
      </w:r>
      <w:r w:rsidR="00590632" w:rsidRPr="009D0B6C">
        <w:rPr>
          <w:rFonts w:ascii="Arial" w:hAnsi="Arial" w:cs="Arial"/>
          <w:sz w:val="28"/>
          <w:szCs w:val="28"/>
          <w:lang w:val="en-GB"/>
        </w:rPr>
        <w:t xml:space="preserve">Contracts of a nature similar to </w:t>
      </w:r>
      <w:r w:rsidR="005428BB">
        <w:rPr>
          <w:rFonts w:ascii="Arial" w:hAnsi="Arial" w:cs="Arial"/>
          <w:sz w:val="28"/>
          <w:szCs w:val="28"/>
          <w:lang w:val="en-GB"/>
        </w:rPr>
        <w:t xml:space="preserve">the </w:t>
      </w:r>
      <w:r w:rsidR="00590632" w:rsidRPr="009D0B6C">
        <w:rPr>
          <w:rFonts w:ascii="Arial" w:hAnsi="Arial" w:cs="Arial"/>
          <w:sz w:val="28"/>
          <w:szCs w:val="28"/>
          <w:lang w:val="en-GB"/>
        </w:rPr>
        <w:t xml:space="preserve">contracts listed in Sections 1 and 2 of this Annex, </w:t>
      </w:r>
      <w:r w:rsidR="005428BB">
        <w:rPr>
          <w:rFonts w:ascii="Arial" w:hAnsi="Arial" w:cs="Arial"/>
          <w:sz w:val="28"/>
          <w:szCs w:val="28"/>
          <w:lang w:val="en-GB"/>
        </w:rPr>
        <w:t>which relate to</w:t>
      </w:r>
      <w:r w:rsidR="00590632" w:rsidRPr="009D0B6C">
        <w:rPr>
          <w:rFonts w:ascii="Arial" w:hAnsi="Arial" w:cs="Arial"/>
          <w:sz w:val="28"/>
          <w:szCs w:val="28"/>
          <w:lang w:val="en-GB"/>
        </w:rPr>
        <w:t xml:space="preserve"> other contract item</w:t>
      </w:r>
      <w:r w:rsidR="005428BB">
        <w:rPr>
          <w:rFonts w:ascii="Arial" w:hAnsi="Arial" w:cs="Arial"/>
          <w:sz w:val="28"/>
          <w:szCs w:val="28"/>
          <w:lang w:val="en-GB"/>
        </w:rPr>
        <w:t xml:space="preserve">s, </w:t>
      </w:r>
      <w:r w:rsidR="00590632" w:rsidRPr="009D0B6C">
        <w:rPr>
          <w:rFonts w:ascii="Arial" w:hAnsi="Arial" w:cs="Arial"/>
          <w:sz w:val="28"/>
          <w:szCs w:val="28"/>
          <w:lang w:val="en-GB"/>
        </w:rPr>
        <w:t>including indices</w:t>
      </w:r>
      <w:r w:rsidR="005428BB">
        <w:rPr>
          <w:rFonts w:ascii="Arial" w:hAnsi="Arial" w:cs="Arial"/>
          <w:sz w:val="28"/>
          <w:szCs w:val="28"/>
          <w:lang w:val="en-GB"/>
        </w:rPr>
        <w:t>, shall be</w:t>
      </w:r>
      <w:r w:rsidR="00590632" w:rsidRPr="009D0B6C">
        <w:rPr>
          <w:rFonts w:ascii="Arial" w:hAnsi="Arial" w:cs="Arial"/>
          <w:sz w:val="28"/>
          <w:szCs w:val="28"/>
          <w:lang w:val="en-GB"/>
        </w:rPr>
        <w:t>:</w:t>
      </w:r>
    </w:p>
    <w:p w14:paraId="725C7226" w14:textId="7B39CB00" w:rsidR="00B6616D" w:rsidRPr="009D0B6C" w:rsidRDefault="00590632" w:rsidP="00427F3A">
      <w:pPr>
        <w:jc w:val="both"/>
        <w:rPr>
          <w:rFonts w:ascii="Arial" w:hAnsi="Arial" w:cs="Arial"/>
          <w:sz w:val="28"/>
          <w:szCs w:val="28"/>
          <w:lang w:val="en-GB"/>
        </w:rPr>
      </w:pPr>
      <w:r w:rsidRPr="009D0B6C">
        <w:rPr>
          <w:rFonts w:ascii="Arial" w:hAnsi="Arial" w:cs="Arial"/>
          <w:sz w:val="28"/>
          <w:szCs w:val="28"/>
          <w:lang w:val="en-GB"/>
        </w:rPr>
        <w:t xml:space="preserve"> </w:t>
      </w:r>
      <w:r w:rsidR="00B6616D" w:rsidRPr="009D0B6C">
        <w:rPr>
          <w:rFonts w:ascii="Arial" w:hAnsi="Arial" w:cs="Arial"/>
          <w:sz w:val="28"/>
          <w:szCs w:val="28"/>
          <w:lang w:val="en-GB"/>
        </w:rPr>
        <w:tab/>
      </w:r>
      <w:r w:rsidR="00B6616D" w:rsidRPr="009D0B6C">
        <w:rPr>
          <w:rFonts w:ascii="Arial" w:hAnsi="Arial" w:cs="Arial"/>
          <w:sz w:val="28"/>
          <w:szCs w:val="28"/>
          <w:lang w:val="en-GB"/>
        </w:rPr>
        <w:tab/>
        <w:t>–</w:t>
      </w:r>
      <w:r w:rsidR="00B6616D" w:rsidRPr="009D0B6C">
        <w:rPr>
          <w:rFonts w:ascii="Arial" w:hAnsi="Arial" w:cs="Arial"/>
          <w:sz w:val="28"/>
          <w:szCs w:val="28"/>
          <w:lang w:val="en-GB"/>
        </w:rPr>
        <w:tab/>
      </w:r>
      <w:r w:rsidRPr="009D0B6C">
        <w:rPr>
          <w:rFonts w:ascii="Arial" w:hAnsi="Arial" w:cs="Arial"/>
          <w:sz w:val="28"/>
          <w:szCs w:val="28"/>
          <w:lang w:val="en-GB"/>
        </w:rPr>
        <w:t xml:space="preserve">options, futures, swaps, forward </w:t>
      </w:r>
      <w:r w:rsidR="00DF0353" w:rsidRPr="009D0B6C">
        <w:rPr>
          <w:rFonts w:ascii="Arial" w:hAnsi="Arial" w:cs="Arial"/>
          <w:sz w:val="28"/>
          <w:szCs w:val="28"/>
          <w:lang w:val="en-GB"/>
        </w:rPr>
        <w:t>r</w:t>
      </w:r>
      <w:r w:rsidRPr="009D0B6C">
        <w:rPr>
          <w:rFonts w:ascii="Arial" w:hAnsi="Arial" w:cs="Arial"/>
          <w:sz w:val="28"/>
          <w:szCs w:val="28"/>
          <w:lang w:val="en-GB"/>
        </w:rPr>
        <w:t xml:space="preserve">ate agreements and any other derivative contracts </w:t>
      </w:r>
      <w:r w:rsidR="00BE1823" w:rsidRPr="009D0B6C">
        <w:rPr>
          <w:rFonts w:ascii="Arial" w:hAnsi="Arial" w:cs="Arial"/>
          <w:sz w:val="28"/>
          <w:szCs w:val="28"/>
          <w:lang w:val="en-GB"/>
        </w:rPr>
        <w:t>relating to</w:t>
      </w:r>
      <w:r w:rsidRPr="009D0B6C">
        <w:rPr>
          <w:rFonts w:ascii="Arial" w:hAnsi="Arial" w:cs="Arial"/>
          <w:sz w:val="28"/>
          <w:szCs w:val="28"/>
          <w:lang w:val="en-GB"/>
        </w:rPr>
        <w:t xml:space="preserve"> securities, currencies, interest rates</w:t>
      </w:r>
      <w:r w:rsidR="009D0B6C" w:rsidRPr="009D0B6C">
        <w:rPr>
          <w:rFonts w:ascii="Arial" w:hAnsi="Arial" w:cs="Arial"/>
          <w:sz w:val="28"/>
          <w:szCs w:val="28"/>
          <w:lang w:val="en-GB"/>
        </w:rPr>
        <w:t xml:space="preserve"> or</w:t>
      </w:r>
      <w:r w:rsidRPr="009D0B6C">
        <w:rPr>
          <w:rFonts w:ascii="Arial" w:hAnsi="Arial" w:cs="Arial"/>
          <w:sz w:val="28"/>
          <w:szCs w:val="28"/>
          <w:lang w:val="en-GB"/>
        </w:rPr>
        <w:t xml:space="preserve"> yields</w:t>
      </w:r>
      <w:r w:rsidR="00427F3A" w:rsidRPr="009D0B6C">
        <w:rPr>
          <w:rFonts w:ascii="Arial" w:hAnsi="Arial" w:cs="Arial"/>
          <w:sz w:val="28"/>
          <w:szCs w:val="28"/>
          <w:lang w:val="en-GB"/>
        </w:rPr>
        <w:t xml:space="preserve">, emission </w:t>
      </w:r>
      <w:r w:rsidR="00DF0353" w:rsidRPr="009D0B6C">
        <w:rPr>
          <w:rFonts w:ascii="Arial" w:hAnsi="Arial" w:cs="Arial"/>
          <w:sz w:val="28"/>
          <w:szCs w:val="28"/>
          <w:lang w:val="en-GB"/>
        </w:rPr>
        <w:t>allowances</w:t>
      </w:r>
      <w:r w:rsidRPr="009D0B6C">
        <w:rPr>
          <w:rFonts w:ascii="Arial" w:hAnsi="Arial" w:cs="Arial"/>
          <w:sz w:val="28"/>
          <w:szCs w:val="28"/>
          <w:lang w:val="en-GB"/>
        </w:rPr>
        <w:t xml:space="preserve"> or other derivatives</w:t>
      </w:r>
      <w:r w:rsidR="009D0B6C" w:rsidRPr="009D0B6C">
        <w:rPr>
          <w:rFonts w:ascii="Arial" w:hAnsi="Arial" w:cs="Arial"/>
          <w:sz w:val="28"/>
          <w:szCs w:val="28"/>
          <w:lang w:val="en-GB"/>
        </w:rPr>
        <w:t xml:space="preserve"> instruments</w:t>
      </w:r>
      <w:r w:rsidRPr="009D0B6C">
        <w:rPr>
          <w:rFonts w:ascii="Arial" w:hAnsi="Arial" w:cs="Arial"/>
          <w:sz w:val="28"/>
          <w:szCs w:val="28"/>
          <w:lang w:val="en-GB"/>
        </w:rPr>
        <w:t>,</w:t>
      </w:r>
      <w:r w:rsidR="00427F3A" w:rsidRPr="009D0B6C">
        <w:rPr>
          <w:rFonts w:ascii="Arial" w:hAnsi="Arial" w:cs="Arial"/>
          <w:sz w:val="28"/>
          <w:szCs w:val="28"/>
          <w:lang w:val="en-GB"/>
        </w:rPr>
        <w:t xml:space="preserve"> financial indices or financial measures</w:t>
      </w:r>
      <w:r w:rsidRPr="009D0B6C">
        <w:rPr>
          <w:rFonts w:ascii="Arial" w:hAnsi="Arial" w:cs="Arial"/>
          <w:sz w:val="28"/>
          <w:szCs w:val="28"/>
          <w:lang w:val="en-GB"/>
        </w:rPr>
        <w:t xml:space="preserve"> which may be settled physically or in cash</w:t>
      </w:r>
      <w:r w:rsidR="005428BB">
        <w:rPr>
          <w:rFonts w:ascii="Arial" w:hAnsi="Arial" w:cs="Arial"/>
          <w:sz w:val="28"/>
          <w:szCs w:val="28"/>
          <w:lang w:val="en-GB"/>
        </w:rPr>
        <w:t>,</w:t>
      </w:r>
    </w:p>
    <w:p w14:paraId="7E528891" w14:textId="594A2A8C" w:rsidR="00BE1823"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427F3A" w:rsidRPr="009D0B6C">
        <w:rPr>
          <w:rFonts w:ascii="Arial" w:hAnsi="Arial" w:cs="Arial"/>
          <w:sz w:val="28"/>
          <w:szCs w:val="28"/>
          <w:lang w:val="en-GB"/>
        </w:rPr>
        <w:t xml:space="preserve">options, futures, swaps, forwards and any other derivative contracts </w:t>
      </w:r>
      <w:r w:rsidR="00BE1823" w:rsidRPr="009D0B6C">
        <w:rPr>
          <w:rFonts w:ascii="Arial" w:hAnsi="Arial" w:cs="Arial"/>
          <w:sz w:val="28"/>
          <w:szCs w:val="28"/>
          <w:lang w:val="en-GB"/>
        </w:rPr>
        <w:t>relating to</w:t>
      </w:r>
      <w:r w:rsidR="00427F3A" w:rsidRPr="009D0B6C">
        <w:rPr>
          <w:rFonts w:ascii="Arial" w:hAnsi="Arial" w:cs="Arial"/>
          <w:sz w:val="28"/>
          <w:szCs w:val="28"/>
          <w:lang w:val="en-GB"/>
        </w:rPr>
        <w:t xml:space="preserve"> commodities that must be settled in cash or </w:t>
      </w:r>
      <w:r w:rsidR="00BE1823" w:rsidRPr="009D0B6C">
        <w:rPr>
          <w:rFonts w:ascii="Arial" w:hAnsi="Arial" w:cs="Arial"/>
          <w:sz w:val="28"/>
          <w:szCs w:val="28"/>
          <w:lang w:val="en-GB"/>
        </w:rPr>
        <w:t>may</w:t>
      </w:r>
      <w:r w:rsidR="00427F3A" w:rsidRPr="009D0B6C">
        <w:rPr>
          <w:rFonts w:ascii="Arial" w:hAnsi="Arial" w:cs="Arial"/>
          <w:sz w:val="28"/>
          <w:szCs w:val="28"/>
          <w:lang w:val="en-GB"/>
        </w:rPr>
        <w:t xml:space="preserve"> be settled in cash at the </w:t>
      </w:r>
      <w:r w:rsidR="00BE1823" w:rsidRPr="009D0B6C">
        <w:rPr>
          <w:rFonts w:ascii="Arial" w:hAnsi="Arial" w:cs="Arial"/>
          <w:sz w:val="28"/>
          <w:szCs w:val="28"/>
          <w:lang w:val="en-GB"/>
        </w:rPr>
        <w:t>option</w:t>
      </w:r>
      <w:r w:rsidR="00427F3A" w:rsidRPr="009D0B6C">
        <w:rPr>
          <w:rFonts w:ascii="Arial" w:hAnsi="Arial" w:cs="Arial"/>
          <w:sz w:val="28"/>
          <w:szCs w:val="28"/>
          <w:lang w:val="en-GB"/>
        </w:rPr>
        <w:t xml:space="preserve"> of one of the parties </w:t>
      </w:r>
      <w:r w:rsidR="009D0B6C" w:rsidRPr="009D0B6C">
        <w:rPr>
          <w:rFonts w:ascii="Arial" w:hAnsi="Arial" w:cs="Arial"/>
          <w:sz w:val="28"/>
          <w:szCs w:val="28"/>
          <w:lang w:val="en-GB"/>
        </w:rPr>
        <w:t>other</w:t>
      </w:r>
      <w:r w:rsidR="00BE1823" w:rsidRPr="009D0B6C">
        <w:rPr>
          <w:rFonts w:ascii="Arial" w:hAnsi="Arial" w:cs="Arial"/>
          <w:sz w:val="28"/>
          <w:szCs w:val="28"/>
          <w:lang w:val="en-GB"/>
        </w:rPr>
        <w:t xml:space="preserve"> than by reason of</w:t>
      </w:r>
      <w:r w:rsidR="00427F3A" w:rsidRPr="009D0B6C">
        <w:rPr>
          <w:rFonts w:ascii="Arial" w:hAnsi="Arial" w:cs="Arial"/>
          <w:sz w:val="28"/>
          <w:szCs w:val="28"/>
          <w:lang w:val="en-GB"/>
        </w:rPr>
        <w:t xml:space="preserve"> default or </w:t>
      </w:r>
      <w:r w:rsidR="00BE1823" w:rsidRPr="009D0B6C">
        <w:rPr>
          <w:rFonts w:ascii="Arial" w:hAnsi="Arial" w:cs="Arial"/>
          <w:sz w:val="28"/>
          <w:szCs w:val="28"/>
          <w:lang w:val="en-GB"/>
        </w:rPr>
        <w:t>other termination event</w:t>
      </w:r>
      <w:r w:rsidR="005428BB">
        <w:rPr>
          <w:rFonts w:ascii="Arial" w:hAnsi="Arial" w:cs="Arial"/>
          <w:sz w:val="28"/>
          <w:szCs w:val="28"/>
          <w:lang w:val="en-GB"/>
        </w:rPr>
        <w:t>,</w:t>
      </w:r>
    </w:p>
    <w:p w14:paraId="4FC40D51" w14:textId="16A753F3" w:rsidR="00B6616D"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427F3A" w:rsidRPr="009D0B6C">
        <w:rPr>
          <w:rFonts w:ascii="Arial" w:hAnsi="Arial" w:cs="Arial"/>
          <w:sz w:val="28"/>
          <w:szCs w:val="28"/>
          <w:lang w:val="en-GB"/>
        </w:rPr>
        <w:t xml:space="preserve">options, futures, swaps and any other derivative contracts </w:t>
      </w:r>
      <w:r w:rsidR="00BE1823" w:rsidRPr="009D0B6C">
        <w:rPr>
          <w:rFonts w:ascii="Arial" w:hAnsi="Arial" w:cs="Arial"/>
          <w:sz w:val="28"/>
          <w:szCs w:val="28"/>
          <w:lang w:val="en-GB"/>
        </w:rPr>
        <w:t xml:space="preserve">relating to </w:t>
      </w:r>
      <w:r w:rsidR="00427F3A" w:rsidRPr="009D0B6C">
        <w:rPr>
          <w:rFonts w:ascii="Arial" w:hAnsi="Arial" w:cs="Arial"/>
          <w:sz w:val="28"/>
          <w:szCs w:val="28"/>
          <w:lang w:val="en-GB"/>
        </w:rPr>
        <w:t xml:space="preserve">commodities that </w:t>
      </w:r>
      <w:r w:rsidR="00DF0353" w:rsidRPr="009D0B6C">
        <w:rPr>
          <w:rFonts w:ascii="Arial" w:hAnsi="Arial" w:cs="Arial"/>
          <w:sz w:val="28"/>
          <w:szCs w:val="28"/>
          <w:lang w:val="en-GB"/>
        </w:rPr>
        <w:t>can</w:t>
      </w:r>
      <w:r w:rsidR="00427F3A" w:rsidRPr="009D0B6C">
        <w:rPr>
          <w:rFonts w:ascii="Arial" w:hAnsi="Arial" w:cs="Arial"/>
          <w:sz w:val="28"/>
          <w:szCs w:val="28"/>
          <w:lang w:val="en-GB"/>
        </w:rPr>
        <w:t xml:space="preserve"> be physically</w:t>
      </w:r>
      <w:r w:rsidR="00DF0353" w:rsidRPr="009D0B6C">
        <w:rPr>
          <w:rFonts w:ascii="Arial" w:hAnsi="Arial" w:cs="Arial"/>
          <w:sz w:val="28"/>
          <w:szCs w:val="28"/>
          <w:lang w:val="en-GB"/>
        </w:rPr>
        <w:t xml:space="preserve"> settled</w:t>
      </w:r>
      <w:r w:rsidR="00427F3A" w:rsidRPr="009D0B6C">
        <w:rPr>
          <w:rFonts w:ascii="Arial" w:hAnsi="Arial" w:cs="Arial"/>
          <w:sz w:val="28"/>
          <w:szCs w:val="28"/>
          <w:lang w:val="en-GB"/>
        </w:rPr>
        <w:t xml:space="preserve"> provided that they are traded on a regulated market, multilateral or organised trading facility, </w:t>
      </w:r>
      <w:r w:rsidR="009D0B6C" w:rsidRPr="009D0B6C">
        <w:rPr>
          <w:rFonts w:ascii="Arial" w:hAnsi="Arial" w:cs="Arial"/>
          <w:sz w:val="28"/>
          <w:szCs w:val="28"/>
          <w:lang w:val="en-GB"/>
        </w:rPr>
        <w:t>except for</w:t>
      </w:r>
      <w:r w:rsidR="00427F3A" w:rsidRPr="009D0B6C">
        <w:rPr>
          <w:rFonts w:ascii="Arial" w:hAnsi="Arial" w:cs="Arial"/>
          <w:sz w:val="28"/>
          <w:szCs w:val="28"/>
          <w:lang w:val="en-GB"/>
        </w:rPr>
        <w:t xml:space="preserve"> wholesale energy products traded on an organised </w:t>
      </w:r>
      <w:r w:rsidR="009D0B6C" w:rsidRPr="009D0B6C">
        <w:rPr>
          <w:rFonts w:ascii="Arial" w:hAnsi="Arial" w:cs="Arial"/>
          <w:sz w:val="28"/>
          <w:szCs w:val="28"/>
          <w:lang w:val="en-GB"/>
        </w:rPr>
        <w:t>trading</w:t>
      </w:r>
      <w:r w:rsidR="00427F3A" w:rsidRPr="009D0B6C">
        <w:rPr>
          <w:rFonts w:ascii="Arial" w:hAnsi="Arial" w:cs="Arial"/>
          <w:sz w:val="28"/>
          <w:szCs w:val="28"/>
          <w:lang w:val="en-GB"/>
        </w:rPr>
        <w:t xml:space="preserve"> facility that must be physically</w:t>
      </w:r>
      <w:r w:rsidR="00DF0353" w:rsidRPr="009D0B6C">
        <w:rPr>
          <w:rFonts w:ascii="Arial" w:hAnsi="Arial" w:cs="Arial"/>
          <w:sz w:val="28"/>
          <w:szCs w:val="28"/>
          <w:lang w:val="en-GB"/>
        </w:rPr>
        <w:t xml:space="preserve"> settled</w:t>
      </w:r>
      <w:r w:rsidRPr="009D0B6C">
        <w:rPr>
          <w:rFonts w:ascii="Arial" w:hAnsi="Arial" w:cs="Arial"/>
          <w:sz w:val="28"/>
          <w:szCs w:val="28"/>
          <w:lang w:val="en-GB"/>
        </w:rPr>
        <w:t>,</w:t>
      </w:r>
    </w:p>
    <w:p w14:paraId="2F3FCAB9" w14:textId="732DCBA3" w:rsidR="00B6616D"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DF0353" w:rsidRPr="009D0B6C">
        <w:rPr>
          <w:rFonts w:ascii="Arial" w:hAnsi="Arial" w:cs="Arial"/>
          <w:sz w:val="28"/>
          <w:szCs w:val="28"/>
          <w:lang w:val="en-GB"/>
        </w:rPr>
        <w:t>options</w:t>
      </w:r>
      <w:r w:rsidRPr="009D0B6C">
        <w:rPr>
          <w:rFonts w:ascii="Arial" w:hAnsi="Arial" w:cs="Arial"/>
          <w:sz w:val="28"/>
          <w:szCs w:val="28"/>
          <w:lang w:val="en-GB"/>
        </w:rPr>
        <w:t xml:space="preserve">, </w:t>
      </w:r>
      <w:r w:rsidR="00DF0353" w:rsidRPr="009D0B6C">
        <w:rPr>
          <w:rFonts w:ascii="Arial" w:hAnsi="Arial" w:cs="Arial"/>
          <w:sz w:val="28"/>
          <w:szCs w:val="28"/>
          <w:lang w:val="en-GB"/>
        </w:rPr>
        <w:t>futures, swaps</w:t>
      </w:r>
      <w:r w:rsidRPr="009D0B6C">
        <w:rPr>
          <w:rFonts w:ascii="Arial" w:hAnsi="Arial" w:cs="Arial"/>
          <w:sz w:val="28"/>
          <w:szCs w:val="28"/>
          <w:lang w:val="en-GB"/>
        </w:rPr>
        <w:t xml:space="preserve">, </w:t>
      </w:r>
      <w:r w:rsidR="00DF0353" w:rsidRPr="009D0B6C">
        <w:rPr>
          <w:rFonts w:ascii="Arial" w:hAnsi="Arial" w:cs="Arial"/>
          <w:sz w:val="28"/>
          <w:szCs w:val="28"/>
          <w:lang w:val="en-GB"/>
        </w:rPr>
        <w:t xml:space="preserve">forwards and any other derivative contracts </w:t>
      </w:r>
      <w:r w:rsidR="00BE1823" w:rsidRPr="009D0B6C">
        <w:rPr>
          <w:rFonts w:ascii="Arial" w:hAnsi="Arial" w:cs="Arial"/>
          <w:sz w:val="28"/>
          <w:szCs w:val="28"/>
          <w:lang w:val="en-GB"/>
        </w:rPr>
        <w:t xml:space="preserve">relating to </w:t>
      </w:r>
      <w:r w:rsidR="00DF0353" w:rsidRPr="009D0B6C">
        <w:rPr>
          <w:rFonts w:ascii="Arial" w:hAnsi="Arial" w:cs="Arial"/>
          <w:sz w:val="28"/>
          <w:szCs w:val="28"/>
          <w:lang w:val="en-GB"/>
        </w:rPr>
        <w:t>commodities that can be physically settled</w:t>
      </w:r>
      <w:r w:rsidR="009D0B6C" w:rsidRPr="009D0B6C">
        <w:rPr>
          <w:rFonts w:ascii="Arial" w:hAnsi="Arial" w:cs="Arial"/>
          <w:sz w:val="28"/>
          <w:szCs w:val="28"/>
          <w:lang w:val="en-GB"/>
        </w:rPr>
        <w:t xml:space="preserve"> not otherwise mentioned in</w:t>
      </w:r>
      <w:r w:rsidR="00DF0353" w:rsidRPr="009D0B6C">
        <w:rPr>
          <w:rFonts w:ascii="Arial" w:hAnsi="Arial" w:cs="Arial"/>
          <w:sz w:val="28"/>
          <w:szCs w:val="28"/>
          <w:lang w:val="en-GB"/>
        </w:rPr>
        <w:t xml:space="preserve"> indent three of this Section and</w:t>
      </w:r>
      <w:r w:rsidR="00BE1823" w:rsidRPr="009D0B6C">
        <w:rPr>
          <w:rFonts w:ascii="Arial" w:hAnsi="Arial" w:cs="Arial"/>
          <w:sz w:val="28"/>
          <w:szCs w:val="28"/>
          <w:lang w:val="en-GB"/>
        </w:rPr>
        <w:t xml:space="preserve"> </w:t>
      </w:r>
      <w:r w:rsidR="00DF0353" w:rsidRPr="009D0B6C">
        <w:rPr>
          <w:rFonts w:ascii="Arial" w:hAnsi="Arial" w:cs="Arial"/>
          <w:sz w:val="28"/>
          <w:szCs w:val="28"/>
          <w:lang w:val="en-GB"/>
        </w:rPr>
        <w:t xml:space="preserve">not </w:t>
      </w:r>
      <w:r w:rsidR="009D0B6C" w:rsidRPr="009D0B6C">
        <w:rPr>
          <w:rFonts w:ascii="Arial" w:hAnsi="Arial" w:cs="Arial"/>
          <w:sz w:val="28"/>
          <w:szCs w:val="28"/>
          <w:lang w:val="en-GB"/>
        </w:rPr>
        <w:t xml:space="preserve">being </w:t>
      </w:r>
      <w:r w:rsidR="00DF0353" w:rsidRPr="009D0B6C">
        <w:rPr>
          <w:rFonts w:ascii="Arial" w:hAnsi="Arial" w:cs="Arial"/>
          <w:sz w:val="28"/>
          <w:szCs w:val="28"/>
          <w:lang w:val="en-GB"/>
        </w:rPr>
        <w:t>for commercial</w:t>
      </w:r>
      <w:r w:rsidRPr="009D0B6C">
        <w:rPr>
          <w:rFonts w:ascii="Arial" w:hAnsi="Arial" w:cs="Arial"/>
          <w:sz w:val="28"/>
          <w:szCs w:val="28"/>
          <w:lang w:val="en-GB"/>
        </w:rPr>
        <w:t xml:space="preserve"> </w:t>
      </w:r>
      <w:r w:rsidR="00DF0353" w:rsidRPr="009D0B6C">
        <w:rPr>
          <w:rFonts w:ascii="Arial" w:hAnsi="Arial" w:cs="Arial"/>
          <w:sz w:val="28"/>
          <w:szCs w:val="28"/>
          <w:lang w:val="en-GB"/>
        </w:rPr>
        <w:t>purpose, which have the characteristics of other derivative</w:t>
      </w:r>
      <w:r w:rsidR="009D0B6C" w:rsidRPr="009D0B6C">
        <w:rPr>
          <w:rFonts w:ascii="Arial" w:hAnsi="Arial" w:cs="Arial"/>
          <w:sz w:val="28"/>
          <w:szCs w:val="28"/>
          <w:lang w:val="en-GB"/>
        </w:rPr>
        <w:t xml:space="preserve"> financial instruments</w:t>
      </w:r>
      <w:r w:rsidR="009D0B6C" w:rsidRPr="009D0B6C">
        <w:rPr>
          <w:rFonts w:ascii="Arial" w:hAnsi="Arial" w:cs="Arial"/>
          <w:color w:val="222222"/>
          <w:shd w:val="clear" w:color="auto" w:fill="FFFFFF"/>
          <w:lang w:val="en-GB"/>
        </w:rPr>
        <w:t>;</w:t>
      </w:r>
    </w:p>
    <w:p w14:paraId="3D50DD12" w14:textId="3C57AA8F" w:rsidR="00B6616D" w:rsidRPr="009D0B6C" w:rsidRDefault="00B6616D" w:rsidP="006F4848">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BE1823" w:rsidRPr="009D0B6C">
        <w:rPr>
          <w:rFonts w:ascii="Arial" w:hAnsi="Arial" w:cs="Arial"/>
          <w:sz w:val="28"/>
          <w:szCs w:val="28"/>
          <w:lang w:val="en-GB"/>
        </w:rPr>
        <w:t>financial contracts for differences</w:t>
      </w:r>
      <w:r w:rsidR="00E326B9" w:rsidRPr="009D0B6C">
        <w:rPr>
          <w:rFonts w:ascii="Arial" w:hAnsi="Arial" w:cs="Arial"/>
          <w:sz w:val="28"/>
          <w:szCs w:val="28"/>
          <w:lang w:val="en-GB"/>
        </w:rPr>
        <w:t>,</w:t>
      </w:r>
    </w:p>
    <w:p w14:paraId="1575900C" w14:textId="16CD260F" w:rsidR="00BE1823" w:rsidRPr="009D0B6C" w:rsidRDefault="00B6616D" w:rsidP="000C3750">
      <w:pPr>
        <w:jc w:val="both"/>
        <w:rPr>
          <w:rFonts w:ascii="Arial" w:hAnsi="Arial" w:cs="Arial"/>
          <w:sz w:val="28"/>
          <w:szCs w:val="28"/>
          <w:lang w:val="en-GB"/>
        </w:rPr>
      </w:pPr>
      <w:r w:rsidRPr="009D0B6C">
        <w:rPr>
          <w:rFonts w:ascii="Arial" w:hAnsi="Arial" w:cs="Arial"/>
          <w:sz w:val="28"/>
          <w:szCs w:val="28"/>
          <w:lang w:val="en-GB"/>
        </w:rPr>
        <w:lastRenderedPageBreak/>
        <w:tab/>
      </w:r>
      <w:r w:rsidRPr="009D0B6C">
        <w:rPr>
          <w:rFonts w:ascii="Arial" w:hAnsi="Arial" w:cs="Arial"/>
          <w:sz w:val="28"/>
          <w:szCs w:val="28"/>
          <w:lang w:val="en-GB"/>
        </w:rPr>
        <w:tab/>
        <w:t>–</w:t>
      </w:r>
      <w:r w:rsidRPr="009D0B6C">
        <w:rPr>
          <w:rFonts w:ascii="Arial" w:hAnsi="Arial" w:cs="Arial"/>
          <w:sz w:val="28"/>
          <w:szCs w:val="28"/>
          <w:lang w:val="en-GB"/>
        </w:rPr>
        <w:tab/>
      </w:r>
      <w:r w:rsidR="00BE1823" w:rsidRPr="009D0B6C">
        <w:rPr>
          <w:rFonts w:ascii="Arial" w:hAnsi="Arial" w:cs="Arial"/>
          <w:sz w:val="28"/>
          <w:szCs w:val="28"/>
          <w:lang w:val="en-GB"/>
        </w:rPr>
        <w:t xml:space="preserve">options, futures, swaps, forward rate </w:t>
      </w:r>
      <w:r w:rsidR="009D0B6C" w:rsidRPr="009D0B6C">
        <w:rPr>
          <w:rFonts w:ascii="Arial" w:hAnsi="Arial" w:cs="Arial"/>
          <w:sz w:val="28"/>
          <w:szCs w:val="28"/>
          <w:lang w:val="en-GB"/>
        </w:rPr>
        <w:t>agreements</w:t>
      </w:r>
      <w:r w:rsidR="00BE1823" w:rsidRPr="009D0B6C">
        <w:rPr>
          <w:rFonts w:ascii="Arial" w:hAnsi="Arial" w:cs="Arial"/>
          <w:sz w:val="28"/>
          <w:szCs w:val="28"/>
          <w:lang w:val="en-GB"/>
        </w:rPr>
        <w:t xml:space="preserve"> and any other derivative contracts relating to climatic variables, freight rates, inflation rates or other official economic statistics that must be settled in cash or may be settled in cash at the option of one of the parties, other than by reason of default or other termination event</w:t>
      </w:r>
      <w:r w:rsidR="000C3750" w:rsidRPr="009D0B6C">
        <w:rPr>
          <w:rFonts w:ascii="Arial" w:hAnsi="Arial" w:cs="Arial"/>
          <w:sz w:val="28"/>
          <w:szCs w:val="28"/>
          <w:lang w:val="en-GB"/>
        </w:rPr>
        <w:t>,</w:t>
      </w:r>
      <w:r w:rsidRPr="009D0B6C">
        <w:rPr>
          <w:rFonts w:ascii="Arial" w:hAnsi="Arial" w:cs="Arial"/>
          <w:sz w:val="28"/>
          <w:szCs w:val="28"/>
          <w:lang w:val="en-GB"/>
        </w:rPr>
        <w:t xml:space="preserve"> </w:t>
      </w:r>
      <w:r w:rsidR="009D0B6C" w:rsidRPr="009D0B6C">
        <w:rPr>
          <w:rFonts w:ascii="Arial" w:hAnsi="Arial" w:cs="Arial"/>
          <w:sz w:val="28"/>
          <w:szCs w:val="28"/>
          <w:lang w:val="en-GB"/>
        </w:rPr>
        <w:t>as well as any</w:t>
      </w:r>
      <w:r w:rsidR="00BE1823" w:rsidRPr="009D0B6C">
        <w:rPr>
          <w:rFonts w:ascii="Arial" w:hAnsi="Arial" w:cs="Arial"/>
          <w:sz w:val="28"/>
          <w:szCs w:val="28"/>
          <w:lang w:val="en-GB"/>
        </w:rPr>
        <w:t xml:space="preserve"> other derivative contracts relating to </w:t>
      </w:r>
      <w:r w:rsidR="009D0B6C" w:rsidRPr="009D0B6C">
        <w:rPr>
          <w:rFonts w:ascii="Arial" w:hAnsi="Arial" w:cs="Arial"/>
          <w:sz w:val="28"/>
          <w:szCs w:val="28"/>
          <w:lang w:val="en-GB"/>
        </w:rPr>
        <w:t>assets</w:t>
      </w:r>
      <w:r w:rsidR="00BE1823" w:rsidRPr="009D0B6C">
        <w:rPr>
          <w:rFonts w:ascii="Arial" w:hAnsi="Arial" w:cs="Arial"/>
          <w:sz w:val="28"/>
          <w:szCs w:val="28"/>
          <w:lang w:val="en-GB"/>
        </w:rPr>
        <w:t xml:space="preserve">, rights, obligations, indices </w:t>
      </w:r>
      <w:r w:rsidR="009D0B6C" w:rsidRPr="009D0B6C">
        <w:rPr>
          <w:rFonts w:ascii="Arial" w:hAnsi="Arial" w:cs="Arial"/>
          <w:sz w:val="28"/>
          <w:szCs w:val="28"/>
          <w:lang w:val="en-GB"/>
        </w:rPr>
        <w:t>and measures not otherwise mentioned in indents one to five of this Section, which have the characteristics of other derivative financial instruments, having regard to whether, inter alia, they are traded on a regulated market, organised or multilateral trading facility, and</w:t>
      </w:r>
      <w:r w:rsidR="000C3750" w:rsidRPr="009D0B6C">
        <w:rPr>
          <w:rFonts w:ascii="Arial" w:hAnsi="Arial" w:cs="Arial"/>
          <w:sz w:val="28"/>
          <w:szCs w:val="28"/>
          <w:lang w:val="en-GB"/>
        </w:rPr>
        <w:t xml:space="preserve"> </w:t>
      </w:r>
    </w:p>
    <w:p w14:paraId="5B5F1304" w14:textId="5F969FA7" w:rsidR="009D0B6C" w:rsidRPr="009D0B6C" w:rsidRDefault="000C3750" w:rsidP="00FF4D60">
      <w:pPr>
        <w:jc w:val="both"/>
        <w:rPr>
          <w:rFonts w:ascii="Arial" w:hAnsi="Arial" w:cs="Arial"/>
          <w:sz w:val="28"/>
          <w:szCs w:val="28"/>
          <w:lang w:val="en-GB"/>
        </w:rPr>
      </w:pPr>
      <w:r w:rsidRPr="009D0B6C">
        <w:rPr>
          <w:rFonts w:ascii="Arial" w:hAnsi="Arial" w:cs="Arial"/>
          <w:sz w:val="28"/>
          <w:szCs w:val="28"/>
          <w:lang w:val="en-GB"/>
        </w:rPr>
        <w:tab/>
      </w:r>
      <w:r w:rsidRPr="009D0B6C">
        <w:rPr>
          <w:rFonts w:ascii="Arial" w:hAnsi="Arial" w:cs="Arial"/>
          <w:sz w:val="28"/>
          <w:szCs w:val="28"/>
          <w:lang w:val="en-GB"/>
        </w:rPr>
        <w:tab/>
        <w:t>–</w:t>
      </w:r>
      <w:r w:rsidRPr="009D0B6C">
        <w:rPr>
          <w:rFonts w:ascii="Arial" w:hAnsi="Arial" w:cs="Arial"/>
          <w:sz w:val="28"/>
          <w:szCs w:val="28"/>
          <w:lang w:val="en-GB"/>
        </w:rPr>
        <w:tab/>
      </w:r>
      <w:r w:rsidR="009D0B6C" w:rsidRPr="009D0B6C">
        <w:rPr>
          <w:rFonts w:ascii="Arial" w:hAnsi="Arial" w:cs="Arial"/>
          <w:sz w:val="28"/>
          <w:szCs w:val="28"/>
          <w:lang w:val="en-GB"/>
        </w:rPr>
        <w:t>emission allowances consisting of any units recognised for compliance with the requirements of the law regulating climate changes.</w:t>
      </w:r>
    </w:p>
    <w:p w14:paraId="2F97FF0E" w14:textId="6386F360" w:rsidR="00BD68CD" w:rsidRPr="009D0B6C" w:rsidRDefault="00BD68CD" w:rsidP="00FF4D60">
      <w:pPr>
        <w:jc w:val="both"/>
        <w:rPr>
          <w:rFonts w:ascii="Arial" w:hAnsi="Arial" w:cs="Arial"/>
          <w:sz w:val="28"/>
          <w:szCs w:val="28"/>
          <w:lang w:val="en-GB"/>
        </w:rPr>
      </w:pPr>
    </w:p>
    <w:sectPr w:rsidR="00BD68CD" w:rsidRPr="009D0B6C" w:rsidSect="00207E7B">
      <w:footerReference w:type="first" r:id="rId7"/>
      <w:pgSz w:w="11907" w:h="16840"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51B7A" w14:textId="77777777" w:rsidR="00095BBE" w:rsidRDefault="00095BBE" w:rsidP="00372CC2">
      <w:r>
        <w:separator/>
      </w:r>
    </w:p>
  </w:endnote>
  <w:endnote w:type="continuationSeparator" w:id="0">
    <w:p w14:paraId="3B57F185" w14:textId="77777777" w:rsidR="00095BBE" w:rsidRDefault="00095BBE" w:rsidP="0037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004C" w14:textId="1689B572" w:rsidR="000C3750" w:rsidRPr="00FF4D60" w:rsidRDefault="000C3750" w:rsidP="00FF4D60">
    <w:pPr>
      <w:pStyle w:val="Footer"/>
      <w:jc w:val="center"/>
      <w:rPr>
        <w:rFonts w:ascii="Arial" w:hAnsi="Arial" w:cs="Arial"/>
        <w:sz w:val="20"/>
        <w:szCs w:val="20"/>
        <w:lang w:val="sr-Cyrl-RS"/>
      </w:rPr>
    </w:pPr>
    <w:r w:rsidRPr="00FF4D60">
      <w:rPr>
        <w:rFonts w:ascii="Arial" w:hAnsi="Arial" w:cs="Arial"/>
        <w:sz w:val="20"/>
        <w:szCs w:val="20"/>
      </w:rPr>
      <w:fldChar w:fldCharType="begin"/>
    </w:r>
    <w:r w:rsidRPr="00FF4D60">
      <w:rPr>
        <w:rFonts w:ascii="Arial" w:hAnsi="Arial" w:cs="Arial"/>
        <w:sz w:val="20"/>
        <w:szCs w:val="20"/>
      </w:rPr>
      <w:instrText xml:space="preserve"> PAGE   \* MERGEFORMAT </w:instrText>
    </w:r>
    <w:r w:rsidRPr="00FF4D60">
      <w:rPr>
        <w:rFonts w:ascii="Arial" w:hAnsi="Arial" w:cs="Arial"/>
        <w:sz w:val="20"/>
        <w:szCs w:val="20"/>
      </w:rPr>
      <w:fldChar w:fldCharType="separate"/>
    </w:r>
    <w:r w:rsidRPr="00FF4D60">
      <w:rPr>
        <w:rFonts w:ascii="Arial" w:hAnsi="Arial" w:cs="Arial"/>
        <w:sz w:val="20"/>
        <w:szCs w:val="20"/>
      </w:rPr>
      <w:t>1</w:t>
    </w:r>
    <w:r w:rsidRPr="00FF4D60">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8DDCB" w14:textId="77777777" w:rsidR="00095BBE" w:rsidRDefault="00095BBE" w:rsidP="00372CC2">
      <w:r>
        <w:separator/>
      </w:r>
    </w:p>
  </w:footnote>
  <w:footnote w:type="continuationSeparator" w:id="0">
    <w:p w14:paraId="3B72DF1E" w14:textId="77777777" w:rsidR="00095BBE" w:rsidRDefault="00095BBE" w:rsidP="00372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F3934"/>
    <w:multiLevelType w:val="multilevel"/>
    <w:tmpl w:val="6844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DC2428"/>
    <w:multiLevelType w:val="multilevel"/>
    <w:tmpl w:val="840E7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EC20DF"/>
    <w:multiLevelType w:val="multilevel"/>
    <w:tmpl w:val="713A3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8C1ED1"/>
    <w:multiLevelType w:val="hybridMultilevel"/>
    <w:tmpl w:val="C3867C6E"/>
    <w:lvl w:ilvl="0" w:tplc="5AC6F2A4">
      <w:start w:val="4"/>
      <w:numFmt w:val="bullet"/>
      <w:lvlText w:val="–"/>
      <w:lvlJc w:val="left"/>
      <w:pPr>
        <w:tabs>
          <w:tab w:val="num" w:pos="1350"/>
        </w:tabs>
        <w:ind w:left="1350" w:hanging="45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669411372">
    <w:abstractNumId w:val="3"/>
  </w:num>
  <w:num w:numId="2" w16cid:durableId="1491600225">
    <w:abstractNumId w:val="0"/>
  </w:num>
  <w:num w:numId="3" w16cid:durableId="1495026300">
    <w:abstractNumId w:val="1"/>
  </w:num>
  <w:num w:numId="4" w16cid:durableId="19763268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45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6D"/>
    <w:rsid w:val="000147F5"/>
    <w:rsid w:val="00095BBE"/>
    <w:rsid w:val="000C3750"/>
    <w:rsid w:val="0010291D"/>
    <w:rsid w:val="001F61CE"/>
    <w:rsid w:val="00207E7B"/>
    <w:rsid w:val="00311749"/>
    <w:rsid w:val="00327DDE"/>
    <w:rsid w:val="00342F82"/>
    <w:rsid w:val="00372CC2"/>
    <w:rsid w:val="003B0F4E"/>
    <w:rsid w:val="003E75E0"/>
    <w:rsid w:val="00427F3A"/>
    <w:rsid w:val="004A419A"/>
    <w:rsid w:val="0050358C"/>
    <w:rsid w:val="005428BB"/>
    <w:rsid w:val="00590632"/>
    <w:rsid w:val="005E0EF9"/>
    <w:rsid w:val="005E621B"/>
    <w:rsid w:val="00634ADF"/>
    <w:rsid w:val="00693352"/>
    <w:rsid w:val="006B725A"/>
    <w:rsid w:val="006F4848"/>
    <w:rsid w:val="00722B9B"/>
    <w:rsid w:val="007F07CA"/>
    <w:rsid w:val="007F478C"/>
    <w:rsid w:val="008003DD"/>
    <w:rsid w:val="008C7AA0"/>
    <w:rsid w:val="008D6112"/>
    <w:rsid w:val="009048A0"/>
    <w:rsid w:val="00936F8E"/>
    <w:rsid w:val="009D0B6C"/>
    <w:rsid w:val="009D3565"/>
    <w:rsid w:val="00B6616D"/>
    <w:rsid w:val="00BD68CD"/>
    <w:rsid w:val="00BE1823"/>
    <w:rsid w:val="00C77313"/>
    <w:rsid w:val="00CD1CFE"/>
    <w:rsid w:val="00D07E24"/>
    <w:rsid w:val="00D33B6A"/>
    <w:rsid w:val="00DD49F1"/>
    <w:rsid w:val="00DF0353"/>
    <w:rsid w:val="00E326B9"/>
    <w:rsid w:val="00E35277"/>
    <w:rsid w:val="00ED254B"/>
    <w:rsid w:val="00F9257F"/>
    <w:rsid w:val="00FE5F13"/>
    <w:rsid w:val="00FF4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A4878"/>
  <w15:docId w15:val="{B5D83A81-2500-4CD6-AF33-172A4582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16D"/>
    <w:pPr>
      <w:spacing w:after="0" w:line="240" w:lineRule="auto"/>
    </w:pPr>
    <w:rPr>
      <w:rFonts w:ascii="Times New Roman" w:eastAsia="Times New Roman"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6616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aslov1">
    <w:name w:val="Naslov 1"/>
    <w:basedOn w:val="Default"/>
    <w:next w:val="Default"/>
    <w:rsid w:val="00B6616D"/>
    <w:pPr>
      <w:spacing w:before="440"/>
    </w:pPr>
    <w:rPr>
      <w:color w:val="auto"/>
    </w:rPr>
  </w:style>
  <w:style w:type="paragraph" w:styleId="Revision">
    <w:name w:val="Revision"/>
    <w:hidden/>
    <w:uiPriority w:val="99"/>
    <w:semiHidden/>
    <w:rsid w:val="0010291D"/>
    <w:pPr>
      <w:spacing w:after="0" w:line="240" w:lineRule="auto"/>
    </w:pPr>
    <w:rPr>
      <w:rFonts w:ascii="Times New Roman" w:eastAsia="Times New Roman" w:hAnsi="Times New Roman" w:cs="Times New Roman"/>
      <w:sz w:val="24"/>
      <w:szCs w:val="24"/>
      <w:lang w:val="sr-Cyrl-CS"/>
    </w:rPr>
  </w:style>
  <w:style w:type="character" w:styleId="CommentReference">
    <w:name w:val="annotation reference"/>
    <w:basedOn w:val="DefaultParagraphFont"/>
    <w:uiPriority w:val="99"/>
    <w:semiHidden/>
    <w:unhideWhenUsed/>
    <w:rsid w:val="00342F82"/>
    <w:rPr>
      <w:sz w:val="16"/>
      <w:szCs w:val="16"/>
    </w:rPr>
  </w:style>
  <w:style w:type="paragraph" w:styleId="CommentText">
    <w:name w:val="annotation text"/>
    <w:basedOn w:val="Normal"/>
    <w:link w:val="CommentTextChar"/>
    <w:uiPriority w:val="99"/>
    <w:unhideWhenUsed/>
    <w:rsid w:val="00342F82"/>
    <w:rPr>
      <w:sz w:val="20"/>
      <w:szCs w:val="20"/>
    </w:rPr>
  </w:style>
  <w:style w:type="character" w:customStyle="1" w:styleId="CommentTextChar">
    <w:name w:val="Comment Text Char"/>
    <w:basedOn w:val="DefaultParagraphFont"/>
    <w:link w:val="CommentText"/>
    <w:uiPriority w:val="99"/>
    <w:rsid w:val="00342F82"/>
    <w:rPr>
      <w:rFonts w:ascii="Times New Roman" w:eastAsia="Times New Roman" w:hAnsi="Times New Roman" w:cs="Times New Roman"/>
      <w:sz w:val="20"/>
      <w:szCs w:val="20"/>
      <w:lang w:val="sr-Cyrl-CS"/>
    </w:rPr>
  </w:style>
  <w:style w:type="paragraph" w:styleId="CommentSubject">
    <w:name w:val="annotation subject"/>
    <w:basedOn w:val="CommentText"/>
    <w:next w:val="CommentText"/>
    <w:link w:val="CommentSubjectChar"/>
    <w:uiPriority w:val="99"/>
    <w:semiHidden/>
    <w:unhideWhenUsed/>
    <w:rsid w:val="00342F82"/>
    <w:rPr>
      <w:b/>
      <w:bCs/>
    </w:rPr>
  </w:style>
  <w:style w:type="character" w:customStyle="1" w:styleId="CommentSubjectChar">
    <w:name w:val="Comment Subject Char"/>
    <w:basedOn w:val="CommentTextChar"/>
    <w:link w:val="CommentSubject"/>
    <w:uiPriority w:val="99"/>
    <w:semiHidden/>
    <w:rsid w:val="00342F82"/>
    <w:rPr>
      <w:rFonts w:ascii="Times New Roman" w:eastAsia="Times New Roman" w:hAnsi="Times New Roman" w:cs="Times New Roman"/>
      <w:b/>
      <w:bCs/>
      <w:sz w:val="20"/>
      <w:szCs w:val="20"/>
      <w:lang w:val="sr-Cyrl-CS"/>
    </w:rPr>
  </w:style>
  <w:style w:type="paragraph" w:customStyle="1" w:styleId="basic-paragraph">
    <w:name w:val="basic-paragraph"/>
    <w:basedOn w:val="Normal"/>
    <w:rsid w:val="009048A0"/>
    <w:pPr>
      <w:spacing w:before="100" w:beforeAutospacing="1" w:after="100" w:afterAutospacing="1"/>
    </w:pPr>
    <w:rPr>
      <w:lang w:val="en-GB" w:eastAsia="en-GB"/>
    </w:rPr>
  </w:style>
  <w:style w:type="paragraph" w:styleId="Header">
    <w:name w:val="header"/>
    <w:basedOn w:val="Normal"/>
    <w:link w:val="HeaderChar"/>
    <w:uiPriority w:val="99"/>
    <w:unhideWhenUsed/>
    <w:rsid w:val="000C3750"/>
    <w:pPr>
      <w:tabs>
        <w:tab w:val="center" w:pos="4536"/>
        <w:tab w:val="right" w:pos="9072"/>
      </w:tabs>
    </w:pPr>
  </w:style>
  <w:style w:type="character" w:customStyle="1" w:styleId="HeaderChar">
    <w:name w:val="Header Char"/>
    <w:basedOn w:val="DefaultParagraphFont"/>
    <w:link w:val="Header"/>
    <w:uiPriority w:val="99"/>
    <w:rsid w:val="000C3750"/>
    <w:rPr>
      <w:rFonts w:ascii="Times New Roman" w:eastAsia="Times New Roman" w:hAnsi="Times New Roman" w:cs="Times New Roman"/>
      <w:sz w:val="24"/>
      <w:szCs w:val="24"/>
      <w:lang w:val="sr-Cyrl-CS"/>
    </w:rPr>
  </w:style>
  <w:style w:type="paragraph" w:styleId="Footer">
    <w:name w:val="footer"/>
    <w:basedOn w:val="Normal"/>
    <w:link w:val="FooterChar"/>
    <w:uiPriority w:val="99"/>
    <w:unhideWhenUsed/>
    <w:rsid w:val="000C3750"/>
    <w:pPr>
      <w:tabs>
        <w:tab w:val="center" w:pos="4536"/>
        <w:tab w:val="right" w:pos="9072"/>
      </w:tabs>
    </w:pPr>
  </w:style>
  <w:style w:type="character" w:customStyle="1" w:styleId="FooterChar">
    <w:name w:val="Footer Char"/>
    <w:basedOn w:val="DefaultParagraphFont"/>
    <w:link w:val="Footer"/>
    <w:uiPriority w:val="99"/>
    <w:rsid w:val="000C3750"/>
    <w:rPr>
      <w:rFonts w:ascii="Times New Roman" w:eastAsia="Times New Roman" w:hAnsi="Times New Roman" w:cs="Times New Roman"/>
      <w:sz w:val="24"/>
      <w:szCs w:val="24"/>
      <w:lang w:val="sr-Cyrl-CS"/>
    </w:rPr>
  </w:style>
  <w:style w:type="paragraph" w:customStyle="1" w:styleId="oj-normal">
    <w:name w:val="oj-normal"/>
    <w:basedOn w:val="Normal"/>
    <w:rsid w:val="00590632"/>
    <w:pPr>
      <w:spacing w:before="100" w:beforeAutospacing="1" w:after="100" w:afterAutospacing="1"/>
    </w:pPr>
    <w:rPr>
      <w:lang w:val="sr-Latn-RS" w:eastAsia="sr-Latn-RS"/>
    </w:rPr>
  </w:style>
  <w:style w:type="character" w:styleId="Emphasis">
    <w:name w:val="Emphasis"/>
    <w:basedOn w:val="DefaultParagraphFont"/>
    <w:uiPriority w:val="20"/>
    <w:qFormat/>
    <w:rsid w:val="009D0B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95940">
      <w:bodyDiv w:val="1"/>
      <w:marLeft w:val="0"/>
      <w:marRight w:val="0"/>
      <w:marTop w:val="0"/>
      <w:marBottom w:val="0"/>
      <w:divBdr>
        <w:top w:val="none" w:sz="0" w:space="0" w:color="auto"/>
        <w:left w:val="none" w:sz="0" w:space="0" w:color="auto"/>
        <w:bottom w:val="none" w:sz="0" w:space="0" w:color="auto"/>
        <w:right w:val="none" w:sz="0" w:space="0" w:color="auto"/>
      </w:divBdr>
    </w:div>
    <w:div w:id="354188159">
      <w:bodyDiv w:val="1"/>
      <w:marLeft w:val="0"/>
      <w:marRight w:val="0"/>
      <w:marTop w:val="0"/>
      <w:marBottom w:val="0"/>
      <w:divBdr>
        <w:top w:val="none" w:sz="0" w:space="0" w:color="auto"/>
        <w:left w:val="none" w:sz="0" w:space="0" w:color="auto"/>
        <w:bottom w:val="none" w:sz="0" w:space="0" w:color="auto"/>
        <w:right w:val="none" w:sz="0" w:space="0" w:color="auto"/>
      </w:divBdr>
      <w:divsChild>
        <w:div w:id="31349707">
          <w:marLeft w:val="0"/>
          <w:marRight w:val="0"/>
          <w:marTop w:val="0"/>
          <w:marBottom w:val="0"/>
          <w:divBdr>
            <w:top w:val="none" w:sz="0" w:space="0" w:color="auto"/>
            <w:left w:val="none" w:sz="0" w:space="0" w:color="auto"/>
            <w:bottom w:val="none" w:sz="0" w:space="0" w:color="auto"/>
            <w:right w:val="none" w:sz="0" w:space="0" w:color="auto"/>
          </w:divBdr>
          <w:divsChild>
            <w:div w:id="179648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486253">
      <w:bodyDiv w:val="1"/>
      <w:marLeft w:val="0"/>
      <w:marRight w:val="0"/>
      <w:marTop w:val="0"/>
      <w:marBottom w:val="0"/>
      <w:divBdr>
        <w:top w:val="none" w:sz="0" w:space="0" w:color="auto"/>
        <w:left w:val="none" w:sz="0" w:space="0" w:color="auto"/>
        <w:bottom w:val="none" w:sz="0" w:space="0" w:color="auto"/>
        <w:right w:val="none" w:sz="0" w:space="0" w:color="auto"/>
      </w:divBdr>
    </w:div>
    <w:div w:id="1013187839">
      <w:bodyDiv w:val="1"/>
      <w:marLeft w:val="0"/>
      <w:marRight w:val="0"/>
      <w:marTop w:val="0"/>
      <w:marBottom w:val="0"/>
      <w:divBdr>
        <w:top w:val="none" w:sz="0" w:space="0" w:color="auto"/>
        <w:left w:val="none" w:sz="0" w:space="0" w:color="auto"/>
        <w:bottom w:val="none" w:sz="0" w:space="0" w:color="auto"/>
        <w:right w:val="none" w:sz="0" w:space="0" w:color="auto"/>
      </w:divBdr>
    </w:div>
    <w:div w:id="1072629431">
      <w:bodyDiv w:val="1"/>
      <w:marLeft w:val="0"/>
      <w:marRight w:val="0"/>
      <w:marTop w:val="0"/>
      <w:marBottom w:val="0"/>
      <w:divBdr>
        <w:top w:val="none" w:sz="0" w:space="0" w:color="auto"/>
        <w:left w:val="none" w:sz="0" w:space="0" w:color="auto"/>
        <w:bottom w:val="none" w:sz="0" w:space="0" w:color="auto"/>
        <w:right w:val="none" w:sz="0" w:space="0" w:color="auto"/>
      </w:divBdr>
    </w:div>
    <w:div w:id="1959333029">
      <w:bodyDiv w:val="1"/>
      <w:marLeft w:val="0"/>
      <w:marRight w:val="0"/>
      <w:marTop w:val="0"/>
      <w:marBottom w:val="0"/>
      <w:divBdr>
        <w:top w:val="none" w:sz="0" w:space="0" w:color="auto"/>
        <w:left w:val="none" w:sz="0" w:space="0" w:color="auto"/>
        <w:bottom w:val="none" w:sz="0" w:space="0" w:color="auto"/>
        <w:right w:val="none" w:sz="0" w:space="0" w:color="auto"/>
      </w:divBdr>
    </w:div>
    <w:div w:id="2104837950">
      <w:bodyDiv w:val="1"/>
      <w:marLeft w:val="0"/>
      <w:marRight w:val="0"/>
      <w:marTop w:val="0"/>
      <w:marBottom w:val="0"/>
      <w:divBdr>
        <w:top w:val="none" w:sz="0" w:space="0" w:color="auto"/>
        <w:left w:val="none" w:sz="0" w:space="0" w:color="auto"/>
        <w:bottom w:val="none" w:sz="0" w:space="0" w:color="auto"/>
        <w:right w:val="none" w:sz="0" w:space="0" w:color="auto"/>
      </w:divBdr>
      <w:divsChild>
        <w:div w:id="660276424">
          <w:marLeft w:val="0"/>
          <w:marRight w:val="0"/>
          <w:marTop w:val="0"/>
          <w:marBottom w:val="0"/>
          <w:divBdr>
            <w:top w:val="none" w:sz="0" w:space="0" w:color="auto"/>
            <w:left w:val="none" w:sz="0" w:space="0" w:color="auto"/>
            <w:bottom w:val="none" w:sz="0" w:space="0" w:color="auto"/>
            <w:right w:val="none" w:sz="0" w:space="0" w:color="auto"/>
          </w:divBdr>
        </w:div>
        <w:div w:id="1862622896">
          <w:marLeft w:val="0"/>
          <w:marRight w:val="0"/>
          <w:marTop w:val="0"/>
          <w:marBottom w:val="0"/>
          <w:divBdr>
            <w:top w:val="none" w:sz="0" w:space="0" w:color="auto"/>
            <w:left w:val="none" w:sz="0" w:space="0" w:color="auto"/>
            <w:bottom w:val="none" w:sz="0" w:space="0" w:color="auto"/>
            <w:right w:val="none" w:sz="0" w:space="0" w:color="auto"/>
          </w:divBdr>
        </w:div>
        <w:div w:id="445197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2373</Characters>
  <Application>Microsoft Office Word</Application>
  <DocSecurity>0</DocSecurity>
  <Lines>64</Lines>
  <Paragraphs>29</Paragraphs>
  <ScaleCrop>false</ScaleCrop>
  <HeadingPairs>
    <vt:vector size="2" baseType="variant">
      <vt:variant>
        <vt:lpstr>Title</vt:lpstr>
      </vt:variant>
      <vt:variant>
        <vt:i4>1</vt:i4>
      </vt:variant>
    </vt:vector>
  </HeadingPairs>
  <TitlesOfParts>
    <vt:vector size="1" baseType="lpstr">
      <vt:lpstr/>
    </vt:vector>
  </TitlesOfParts>
  <Company>Narodna banka Srbije</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Nešić</dc:creator>
  <cp:keywords> [SEC=JAVNO]</cp:keywords>
  <cp:lastModifiedBy>Natalija Stepanovic</cp:lastModifiedBy>
  <cp:revision>2</cp:revision>
  <cp:lastPrinted>2025-06-10T07:42:00Z</cp:lastPrinted>
  <dcterms:created xsi:type="dcterms:W3CDTF">2025-07-04T07:48:00Z</dcterms:created>
  <dcterms:modified xsi:type="dcterms:W3CDTF">2025-07-04T07:48:00Z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A3520B79D55AB7BCEFFBD92EB16193151953B341</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2A2F7F9863C108FA3C180B9E22D28F2BB3A7874C</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9A7C90AE11E24B9AA99FF7FEB83D8E4F</vt:lpwstr>
  </property>
  <property fmtid="{D5CDD505-2E9C-101B-9397-08002B2CF9AE}" pid="16" name="PM_OriginationTimeStamp">
    <vt:lpwstr>2019-12-16T10:11:25Z</vt:lpwstr>
  </property>
  <property fmtid="{D5CDD505-2E9C-101B-9397-08002B2CF9AE}" pid="17" name="PM_Hash_Version">
    <vt:lpwstr>2016.1</vt:lpwstr>
  </property>
  <property fmtid="{D5CDD505-2E9C-101B-9397-08002B2CF9AE}" pid="18" name="PM_Hash_Salt_Prev">
    <vt:lpwstr>5256BB4A96F3E8DFC025705578A51611</vt:lpwstr>
  </property>
  <property fmtid="{D5CDD505-2E9C-101B-9397-08002B2CF9AE}" pid="19" name="PM_Hash_Salt">
    <vt:lpwstr>5256BB4A96F3E8DFC025705578A51611</vt:lpwstr>
  </property>
</Properties>
</file>