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61FAC7" w14:textId="7A53614C" w:rsidR="00EA2E43" w:rsidRPr="001030F5" w:rsidRDefault="00583DB8" w:rsidP="00DF00F1">
      <w:pPr>
        <w:widowControl w:val="0"/>
        <w:spacing w:after="0" w:line="240" w:lineRule="auto"/>
        <w:jc w:val="right"/>
        <w:rPr>
          <w:rFonts w:ascii="Arial" w:hAnsi="Arial" w:cs="Arial"/>
          <w:b/>
          <w:color w:val="1A1617"/>
          <w:sz w:val="28"/>
          <w:szCs w:val="28"/>
          <w:lang w:val="en-GB"/>
        </w:rPr>
      </w:pPr>
      <w:r w:rsidRPr="001030F5">
        <w:rPr>
          <w:rFonts w:ascii="Arial" w:hAnsi="Arial" w:cs="Arial"/>
          <w:b/>
          <w:color w:val="1A1617"/>
          <w:sz w:val="28"/>
          <w:szCs w:val="28"/>
          <w:lang w:val="en-GB"/>
        </w:rPr>
        <w:t>Annex</w:t>
      </w:r>
      <w:r w:rsidR="00EA2E43" w:rsidRPr="001030F5">
        <w:rPr>
          <w:rFonts w:ascii="Arial" w:hAnsi="Arial" w:cs="Arial"/>
          <w:b/>
          <w:color w:val="1A1617"/>
          <w:sz w:val="28"/>
          <w:szCs w:val="28"/>
          <w:lang w:val="en-GB"/>
        </w:rPr>
        <w:t xml:space="preserve"> 1</w:t>
      </w:r>
    </w:p>
    <w:p w14:paraId="353186A4" w14:textId="77777777" w:rsidR="002B51E2" w:rsidRPr="001030F5" w:rsidRDefault="002B51E2" w:rsidP="00DF00F1">
      <w:pPr>
        <w:widowControl w:val="0"/>
        <w:spacing w:after="0" w:line="240" w:lineRule="auto"/>
        <w:jc w:val="right"/>
        <w:rPr>
          <w:rFonts w:ascii="Arial" w:hAnsi="Arial" w:cs="Arial"/>
          <w:b/>
          <w:color w:val="1A1617"/>
          <w:sz w:val="28"/>
          <w:szCs w:val="28"/>
          <w:lang w:val="en-GB"/>
        </w:rPr>
      </w:pPr>
    </w:p>
    <w:p w14:paraId="2B13CFC4" w14:textId="3561D346" w:rsidR="00DA53DF" w:rsidRPr="001030F5" w:rsidRDefault="00DA53DF" w:rsidP="00DF00F1">
      <w:pPr>
        <w:widowControl w:val="0"/>
        <w:spacing w:after="0" w:line="240" w:lineRule="auto"/>
        <w:jc w:val="center"/>
        <w:rPr>
          <w:rFonts w:ascii="Arial" w:hAnsi="Arial" w:cs="Arial"/>
          <w:b/>
          <w:color w:val="1A1617"/>
          <w:sz w:val="28"/>
          <w:szCs w:val="28"/>
          <w:lang w:val="en-GB"/>
        </w:rPr>
      </w:pPr>
    </w:p>
    <w:p w14:paraId="070848C4" w14:textId="125E2581" w:rsidR="00583DB8" w:rsidRPr="001030F5" w:rsidRDefault="00583DB8" w:rsidP="00DF00F1">
      <w:pPr>
        <w:widowControl w:val="0"/>
        <w:spacing w:after="0" w:line="240" w:lineRule="auto"/>
        <w:jc w:val="center"/>
        <w:rPr>
          <w:rFonts w:ascii="Arial" w:hAnsi="Arial" w:cs="Arial"/>
          <w:b/>
          <w:color w:val="1A1617"/>
          <w:sz w:val="28"/>
          <w:szCs w:val="28"/>
          <w:lang w:val="en-GB"/>
        </w:rPr>
      </w:pPr>
      <w:r w:rsidRPr="001030F5">
        <w:rPr>
          <w:rFonts w:ascii="Arial" w:hAnsi="Arial" w:cs="Arial"/>
          <w:b/>
          <w:bCs/>
          <w:color w:val="1A1617"/>
          <w:sz w:val="28"/>
          <w:szCs w:val="28"/>
          <w:lang w:val="en-GB"/>
        </w:rPr>
        <w:t xml:space="preserve">METHODOLOGY FOR </w:t>
      </w:r>
      <w:r w:rsidR="00D910DA">
        <w:rPr>
          <w:rFonts w:ascii="Arial" w:hAnsi="Arial" w:cs="Arial"/>
          <w:b/>
          <w:bCs/>
          <w:color w:val="1A1617"/>
          <w:sz w:val="28"/>
          <w:szCs w:val="28"/>
          <w:lang w:val="en-GB"/>
        </w:rPr>
        <w:t>CALCULATING</w:t>
      </w:r>
      <w:r w:rsidRPr="001030F5">
        <w:rPr>
          <w:rFonts w:ascii="Arial" w:hAnsi="Arial" w:cs="Arial"/>
          <w:b/>
          <w:bCs/>
          <w:color w:val="1A1617"/>
          <w:sz w:val="28"/>
          <w:szCs w:val="28"/>
          <w:lang w:val="en-GB"/>
        </w:rPr>
        <w:t xml:space="preserve"> REGULAR ANNUAL CONTRIBUTIONS OF BANKS TO THE BANK RESOLUTION FUND</w:t>
      </w:r>
    </w:p>
    <w:p w14:paraId="48070C95" w14:textId="32164F92" w:rsidR="00D453EF" w:rsidRPr="001030F5" w:rsidRDefault="00D453EF" w:rsidP="00DF00F1">
      <w:pPr>
        <w:widowControl w:val="0"/>
        <w:spacing w:after="0" w:line="240" w:lineRule="auto"/>
        <w:jc w:val="center"/>
        <w:rPr>
          <w:rFonts w:ascii="Arial" w:hAnsi="Arial" w:cs="Arial"/>
          <w:b/>
          <w:color w:val="1A1617"/>
          <w:sz w:val="20"/>
          <w:szCs w:val="20"/>
          <w:lang w:val="en-GB"/>
        </w:rPr>
      </w:pPr>
    </w:p>
    <w:p w14:paraId="517A8326" w14:textId="77777777" w:rsidR="00E15CE1" w:rsidRPr="001030F5" w:rsidRDefault="00E15CE1" w:rsidP="00DF00F1">
      <w:pPr>
        <w:widowControl w:val="0"/>
        <w:spacing w:after="0" w:line="240" w:lineRule="auto"/>
        <w:jc w:val="both"/>
        <w:rPr>
          <w:rFonts w:ascii="Arial" w:hAnsi="Arial" w:cs="Arial"/>
          <w:color w:val="1A1617"/>
          <w:sz w:val="20"/>
          <w:szCs w:val="20"/>
          <w:lang w:val="en-GB"/>
        </w:rPr>
      </w:pPr>
    </w:p>
    <w:p w14:paraId="64062C88" w14:textId="01E5D1ED" w:rsidR="00D1105F" w:rsidRPr="001030F5" w:rsidRDefault="00583DB8" w:rsidP="00DF00F1">
      <w:pPr>
        <w:widowControl w:val="0"/>
        <w:numPr>
          <w:ilvl w:val="0"/>
          <w:numId w:val="3"/>
        </w:numPr>
        <w:spacing w:after="0" w:line="240" w:lineRule="auto"/>
        <w:ind w:left="0" w:firstLine="0"/>
        <w:jc w:val="center"/>
        <w:rPr>
          <w:rFonts w:ascii="Arial" w:hAnsi="Arial" w:cs="Arial"/>
          <w:b/>
          <w:color w:val="1A1617"/>
          <w:sz w:val="28"/>
          <w:szCs w:val="28"/>
          <w:lang w:val="en-GB"/>
        </w:rPr>
      </w:pPr>
      <w:r w:rsidRPr="001030F5">
        <w:rPr>
          <w:rFonts w:ascii="Arial" w:hAnsi="Arial" w:cs="Arial"/>
          <w:b/>
          <w:color w:val="1A1617"/>
          <w:sz w:val="28"/>
          <w:szCs w:val="28"/>
          <w:lang w:val="en-GB"/>
        </w:rPr>
        <w:t>Calculation of main indicators</w:t>
      </w:r>
    </w:p>
    <w:p w14:paraId="5BE7548A" w14:textId="77777777" w:rsidR="00C23FA7" w:rsidRPr="001030F5" w:rsidRDefault="00C23FA7" w:rsidP="00DF00F1">
      <w:pPr>
        <w:widowControl w:val="0"/>
        <w:spacing w:after="0" w:line="240" w:lineRule="auto"/>
        <w:jc w:val="both"/>
        <w:rPr>
          <w:rFonts w:ascii="Arial" w:hAnsi="Arial" w:cs="Arial"/>
          <w:b/>
          <w:color w:val="1A1617"/>
          <w:sz w:val="20"/>
          <w:szCs w:val="20"/>
          <w:lang w:val="en-GB"/>
        </w:rPr>
      </w:pPr>
    </w:p>
    <w:p w14:paraId="54A32AFE" w14:textId="10FCC400" w:rsidR="00E15CE1" w:rsidRPr="001030F5" w:rsidRDefault="0048091D" w:rsidP="00DF00F1">
      <w:pPr>
        <w:widowControl w:val="0"/>
        <w:spacing w:after="0" w:line="240" w:lineRule="auto"/>
        <w:jc w:val="both"/>
        <w:rPr>
          <w:rFonts w:ascii="Arial" w:hAnsi="Arial" w:cs="Arial"/>
          <w:bCs/>
          <w:color w:val="1A1617"/>
          <w:sz w:val="28"/>
          <w:szCs w:val="28"/>
          <w:lang w:val="en-GB"/>
        </w:rPr>
      </w:pPr>
      <w:r w:rsidRPr="001030F5">
        <w:rPr>
          <w:rFonts w:ascii="Arial" w:hAnsi="Arial" w:cs="Arial"/>
          <w:bCs/>
          <w:color w:val="1A1617"/>
          <w:sz w:val="28"/>
          <w:szCs w:val="28"/>
          <w:lang w:val="en-GB"/>
        </w:rPr>
        <w:tab/>
        <w:t>1.</w:t>
      </w:r>
      <w:r w:rsidRPr="001030F5">
        <w:rPr>
          <w:rFonts w:ascii="Arial" w:hAnsi="Arial" w:cs="Arial"/>
          <w:bCs/>
          <w:color w:val="1A1617"/>
          <w:sz w:val="28"/>
          <w:szCs w:val="28"/>
          <w:lang w:val="en-GB"/>
        </w:rPr>
        <w:tab/>
      </w:r>
      <w:r w:rsidR="00583DB8" w:rsidRPr="001030F5">
        <w:rPr>
          <w:rFonts w:ascii="Arial" w:hAnsi="Arial" w:cs="Arial"/>
          <w:bCs/>
          <w:color w:val="1A1617"/>
          <w:sz w:val="28"/>
          <w:szCs w:val="28"/>
          <w:lang w:val="en-GB"/>
        </w:rPr>
        <w:t>The main risk indicators shall be calculated in accordance with the following</w:t>
      </w:r>
      <w:r w:rsidR="00C23FA7" w:rsidRPr="001030F5">
        <w:rPr>
          <w:rFonts w:ascii="Arial" w:hAnsi="Arial" w:cs="Arial"/>
          <w:bCs/>
          <w:color w:val="1A1617"/>
          <w:sz w:val="28"/>
          <w:szCs w:val="28"/>
          <w:lang w:val="en-GB"/>
        </w:rPr>
        <w:t>:</w:t>
      </w:r>
    </w:p>
    <w:p w14:paraId="12B52B97" w14:textId="77777777" w:rsidR="00EA5B1F" w:rsidRPr="001030F5" w:rsidRDefault="00E15CE1" w:rsidP="00DF00F1">
      <w:pPr>
        <w:widowControl w:val="0"/>
        <w:spacing w:after="0" w:line="240" w:lineRule="auto"/>
        <w:jc w:val="both"/>
        <w:rPr>
          <w:rFonts w:ascii="Arial" w:hAnsi="Arial" w:cs="Arial"/>
          <w:color w:val="1A1617"/>
          <w:sz w:val="28"/>
          <w:szCs w:val="28"/>
          <w:lang w:val="en-GB"/>
        </w:rPr>
      </w:pPr>
      <w:r w:rsidRPr="001030F5">
        <w:rPr>
          <w:rFonts w:ascii="Arial" w:hAnsi="Arial" w:cs="Arial"/>
          <w:color w:val="1A1617"/>
          <w:sz w:val="28"/>
          <w:szCs w:val="28"/>
          <w:lang w:val="en-GB"/>
        </w:rPr>
        <w:tab/>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2"/>
        <w:gridCol w:w="2409"/>
        <w:gridCol w:w="5216"/>
      </w:tblGrid>
      <w:tr w:rsidR="00D954C8" w:rsidRPr="001030F5" w14:paraId="66B719CA" w14:textId="77777777" w:rsidTr="00DF00F1">
        <w:tc>
          <w:tcPr>
            <w:tcW w:w="2122" w:type="dxa"/>
            <w:tcBorders>
              <w:bottom w:val="single" w:sz="4" w:space="0" w:color="auto"/>
            </w:tcBorders>
            <w:shd w:val="clear" w:color="auto" w:fill="auto"/>
            <w:vAlign w:val="center"/>
          </w:tcPr>
          <w:p w14:paraId="4B56071D" w14:textId="77A2647E" w:rsidR="00EA5B1F" w:rsidRPr="001030F5" w:rsidRDefault="00E300A6" w:rsidP="00DF00F1">
            <w:pPr>
              <w:widowControl w:val="0"/>
              <w:spacing w:before="60" w:after="60" w:line="240" w:lineRule="auto"/>
              <w:jc w:val="center"/>
              <w:rPr>
                <w:rFonts w:ascii="Arial" w:eastAsia="Times New Roman" w:hAnsi="Arial" w:cs="Arial"/>
                <w:b/>
                <w:bCs/>
                <w:sz w:val="24"/>
                <w:szCs w:val="24"/>
                <w:lang w:val="en-GB"/>
              </w:rPr>
            </w:pPr>
            <w:r w:rsidRPr="001030F5">
              <w:rPr>
                <w:rFonts w:ascii="Arial" w:eastAsia="Times New Roman" w:hAnsi="Arial" w:cs="Arial"/>
                <w:b/>
                <w:bCs/>
                <w:sz w:val="24"/>
                <w:szCs w:val="24"/>
                <w:lang w:val="en-GB"/>
              </w:rPr>
              <w:t>Risk pillar</w:t>
            </w:r>
          </w:p>
        </w:tc>
        <w:tc>
          <w:tcPr>
            <w:tcW w:w="2409" w:type="dxa"/>
            <w:tcBorders>
              <w:bottom w:val="single" w:sz="4" w:space="0" w:color="auto"/>
            </w:tcBorders>
            <w:shd w:val="clear" w:color="auto" w:fill="auto"/>
            <w:vAlign w:val="center"/>
          </w:tcPr>
          <w:p w14:paraId="3E5BB369" w14:textId="724D7D62" w:rsidR="00EA5B1F" w:rsidRPr="001030F5" w:rsidRDefault="00E300A6" w:rsidP="00DF00F1">
            <w:pPr>
              <w:widowControl w:val="0"/>
              <w:spacing w:before="60" w:after="60" w:line="240" w:lineRule="auto"/>
              <w:jc w:val="center"/>
              <w:rPr>
                <w:rFonts w:ascii="Arial" w:eastAsia="Times New Roman" w:hAnsi="Arial" w:cs="Arial"/>
                <w:b/>
                <w:bCs/>
                <w:sz w:val="24"/>
                <w:szCs w:val="24"/>
                <w:lang w:val="en-GB"/>
              </w:rPr>
            </w:pPr>
            <w:r w:rsidRPr="001030F5">
              <w:rPr>
                <w:rFonts w:ascii="Arial" w:eastAsia="Times New Roman" w:hAnsi="Arial" w:cs="Arial"/>
                <w:b/>
                <w:bCs/>
                <w:sz w:val="24"/>
                <w:szCs w:val="24"/>
                <w:lang w:val="en-GB"/>
              </w:rPr>
              <w:t>Risk indicator</w:t>
            </w:r>
          </w:p>
        </w:tc>
        <w:tc>
          <w:tcPr>
            <w:tcW w:w="5216" w:type="dxa"/>
            <w:tcBorders>
              <w:bottom w:val="single" w:sz="4" w:space="0" w:color="auto"/>
            </w:tcBorders>
            <w:shd w:val="clear" w:color="auto" w:fill="auto"/>
            <w:vAlign w:val="center"/>
          </w:tcPr>
          <w:p w14:paraId="5EFE8EBF" w14:textId="63314B15" w:rsidR="00EA5B1F" w:rsidRPr="001030F5" w:rsidRDefault="00E300A6" w:rsidP="00DF00F1">
            <w:pPr>
              <w:widowControl w:val="0"/>
              <w:spacing w:before="60" w:after="60" w:line="240" w:lineRule="auto"/>
              <w:jc w:val="center"/>
              <w:rPr>
                <w:rFonts w:ascii="Arial" w:eastAsia="Times New Roman" w:hAnsi="Arial" w:cs="Arial"/>
                <w:b/>
                <w:bCs/>
                <w:sz w:val="24"/>
                <w:szCs w:val="24"/>
                <w:highlight w:val="yellow"/>
                <w:lang w:val="en-GB"/>
              </w:rPr>
            </w:pPr>
            <w:r w:rsidRPr="001030F5">
              <w:rPr>
                <w:rFonts w:ascii="Arial" w:eastAsia="Times New Roman" w:hAnsi="Arial" w:cs="Arial"/>
                <w:b/>
                <w:bCs/>
                <w:sz w:val="24"/>
                <w:szCs w:val="24"/>
                <w:lang w:val="en-GB"/>
              </w:rPr>
              <w:t>Calculation of the indicator</w:t>
            </w:r>
          </w:p>
        </w:tc>
      </w:tr>
      <w:tr w:rsidR="00D954C8" w:rsidRPr="001030F5" w14:paraId="39055052" w14:textId="77777777" w:rsidTr="00DF00F1">
        <w:tc>
          <w:tcPr>
            <w:tcW w:w="2122" w:type="dxa"/>
            <w:vMerge w:val="restart"/>
            <w:shd w:val="clear" w:color="auto" w:fill="auto"/>
            <w:vAlign w:val="center"/>
          </w:tcPr>
          <w:p w14:paraId="19654383" w14:textId="6E660B21" w:rsidR="00F451FE" w:rsidRPr="001030F5" w:rsidRDefault="00E300A6" w:rsidP="00DF00F1">
            <w:pPr>
              <w:widowControl w:val="0"/>
              <w:spacing w:before="60" w:after="60" w:line="240" w:lineRule="auto"/>
              <w:jc w:val="center"/>
              <w:rPr>
                <w:rFonts w:ascii="Arial" w:eastAsia="Times New Roman" w:hAnsi="Arial" w:cs="Arial"/>
                <w:b/>
                <w:bCs/>
                <w:sz w:val="24"/>
                <w:szCs w:val="24"/>
                <w:lang w:val="en-GB"/>
              </w:rPr>
            </w:pPr>
            <w:r w:rsidRPr="001030F5">
              <w:rPr>
                <w:rFonts w:ascii="Arial" w:eastAsia="Times New Roman" w:hAnsi="Arial" w:cs="Arial"/>
                <w:b/>
                <w:bCs/>
                <w:sz w:val="24"/>
                <w:szCs w:val="24"/>
                <w:lang w:val="en-GB"/>
              </w:rPr>
              <w:t>Risk exposure</w:t>
            </w:r>
          </w:p>
          <w:p w14:paraId="5CDBA5FF" w14:textId="77777777" w:rsidR="00F451FE" w:rsidRPr="001030F5" w:rsidRDefault="00F451FE" w:rsidP="00DF00F1">
            <w:pPr>
              <w:widowControl w:val="0"/>
              <w:spacing w:before="60" w:after="60" w:line="240" w:lineRule="auto"/>
              <w:jc w:val="center"/>
              <w:rPr>
                <w:rFonts w:ascii="Arial" w:eastAsia="Times New Roman" w:hAnsi="Arial" w:cs="Arial"/>
                <w:b/>
                <w:bCs/>
                <w:sz w:val="24"/>
                <w:szCs w:val="24"/>
                <w:lang w:val="en-GB"/>
              </w:rPr>
            </w:pPr>
          </w:p>
        </w:tc>
        <w:tc>
          <w:tcPr>
            <w:tcW w:w="2409" w:type="dxa"/>
            <w:shd w:val="clear" w:color="auto" w:fill="auto"/>
            <w:vAlign w:val="center"/>
          </w:tcPr>
          <w:p w14:paraId="717C0452" w14:textId="11EA2F60" w:rsidR="00F451FE" w:rsidRPr="001030F5" w:rsidRDefault="00826092" w:rsidP="00DF00F1">
            <w:pPr>
              <w:widowControl w:val="0"/>
              <w:spacing w:before="60" w:after="60" w:line="240" w:lineRule="auto"/>
              <w:jc w:val="center"/>
              <w:rPr>
                <w:rFonts w:ascii="Arial" w:eastAsia="Times New Roman" w:hAnsi="Arial" w:cs="Arial"/>
                <w:b/>
                <w:bCs/>
                <w:sz w:val="24"/>
                <w:szCs w:val="24"/>
                <w:lang w:val="en-GB"/>
              </w:rPr>
            </w:pPr>
            <w:r w:rsidRPr="001030F5">
              <w:rPr>
                <w:rFonts w:ascii="Arial" w:eastAsia="Times New Roman" w:hAnsi="Arial" w:cs="Arial"/>
                <w:b/>
                <w:bCs/>
                <w:sz w:val="24"/>
                <w:szCs w:val="24"/>
                <w:lang w:val="en-GB"/>
              </w:rPr>
              <w:t>funds in excess of MREL</w:t>
            </w:r>
          </w:p>
        </w:tc>
        <w:tc>
          <w:tcPr>
            <w:tcW w:w="5216" w:type="dxa"/>
            <w:shd w:val="clear" w:color="auto" w:fill="auto"/>
            <w:vAlign w:val="center"/>
          </w:tcPr>
          <w:p w14:paraId="57C27F82" w14:textId="6112AEBD" w:rsidR="00C23FA7" w:rsidRPr="001030F5" w:rsidRDefault="00A5231D" w:rsidP="00DF00F1">
            <w:pPr>
              <w:widowControl w:val="0"/>
              <w:spacing w:before="60" w:after="60" w:line="240" w:lineRule="auto"/>
              <w:jc w:val="center"/>
              <w:rPr>
                <w:rFonts w:ascii="Arial" w:eastAsia="Times New Roman" w:hAnsi="Arial" w:cs="Arial"/>
                <w:b/>
                <w:bCs/>
                <w:sz w:val="24"/>
                <w:szCs w:val="24"/>
                <w:lang w:val="en-GB"/>
              </w:rPr>
            </w:pPr>
            <w:r w:rsidRPr="001030F5">
              <w:rPr>
                <w:rFonts w:ascii="Arial" w:eastAsia="Times New Roman" w:hAnsi="Arial" w:cs="Arial"/>
                <w:b/>
                <w:bCs/>
                <w:sz w:val="24"/>
                <w:szCs w:val="24"/>
                <w:lang w:val="en-GB"/>
              </w:rPr>
              <w:t>(</w:t>
            </w:r>
            <w:r w:rsidR="00E300A6" w:rsidRPr="001030F5">
              <w:rPr>
                <w:rFonts w:ascii="Arial" w:eastAsia="Times New Roman" w:hAnsi="Arial" w:cs="Arial"/>
                <w:b/>
                <w:bCs/>
                <w:sz w:val="24"/>
                <w:szCs w:val="24"/>
                <w:lang w:val="en-GB"/>
              </w:rPr>
              <w:t>own funds</w:t>
            </w:r>
            <w:r w:rsidR="00C23FA7" w:rsidRPr="001030F5">
              <w:rPr>
                <w:rFonts w:ascii="Arial" w:eastAsia="Times New Roman" w:hAnsi="Arial" w:cs="Arial"/>
                <w:b/>
                <w:bCs/>
                <w:sz w:val="24"/>
                <w:szCs w:val="24"/>
                <w:lang w:val="en-GB"/>
              </w:rPr>
              <w:t xml:space="preserve"> + </w:t>
            </w:r>
            <w:r w:rsidR="00E300A6" w:rsidRPr="001030F5">
              <w:rPr>
                <w:rFonts w:ascii="Arial" w:eastAsia="Times New Roman" w:hAnsi="Arial" w:cs="Arial"/>
                <w:b/>
                <w:bCs/>
                <w:sz w:val="24"/>
                <w:szCs w:val="24"/>
                <w:lang w:val="en-GB"/>
              </w:rPr>
              <w:t>eligible liabilities</w:t>
            </w:r>
            <w:r w:rsidR="0072393C" w:rsidRPr="001030F5">
              <w:rPr>
                <w:rFonts w:ascii="Arial" w:eastAsia="Times New Roman" w:hAnsi="Arial" w:cs="Arial"/>
                <w:b/>
                <w:bCs/>
                <w:sz w:val="24"/>
                <w:szCs w:val="24"/>
                <w:lang w:val="en-GB"/>
              </w:rPr>
              <w:t xml:space="preserve"> </w:t>
            </w:r>
            <w:r w:rsidRPr="001030F5">
              <w:rPr>
                <w:rFonts w:ascii="Arial" w:eastAsia="Times New Roman" w:hAnsi="Arial" w:cs="Arial"/>
                <w:b/>
                <w:bCs/>
                <w:sz w:val="24"/>
                <w:szCs w:val="24"/>
                <w:lang w:val="en-GB"/>
              </w:rPr>
              <w:t>–</w:t>
            </w:r>
            <w:r w:rsidR="00A37E80" w:rsidRPr="001030F5">
              <w:rPr>
                <w:rFonts w:ascii="Arial" w:eastAsia="Times New Roman" w:hAnsi="Arial" w:cs="Arial"/>
                <w:b/>
                <w:bCs/>
                <w:sz w:val="24"/>
                <w:szCs w:val="24"/>
                <w:lang w:val="en-GB"/>
              </w:rPr>
              <w:t xml:space="preserve"> </w:t>
            </w:r>
            <w:r w:rsidR="00E300A6" w:rsidRPr="001030F5">
              <w:rPr>
                <w:rFonts w:ascii="Arial" w:eastAsia="Times New Roman" w:hAnsi="Arial" w:cs="Arial"/>
                <w:b/>
                <w:bCs/>
                <w:sz w:val="24"/>
                <w:szCs w:val="24"/>
                <w:lang w:val="en-GB"/>
              </w:rPr>
              <w:t>MREL</w:t>
            </w:r>
            <w:r w:rsidRPr="001030F5">
              <w:rPr>
                <w:rFonts w:ascii="Arial" w:eastAsia="Times New Roman" w:hAnsi="Arial" w:cs="Arial"/>
                <w:b/>
                <w:bCs/>
                <w:sz w:val="24"/>
                <w:szCs w:val="24"/>
                <w:lang w:val="en-GB"/>
              </w:rPr>
              <w:t>)</w:t>
            </w:r>
            <w:r w:rsidR="006235F3" w:rsidRPr="001030F5" w:rsidDel="006235F3">
              <w:rPr>
                <w:rFonts w:ascii="Arial" w:eastAsia="Times New Roman" w:hAnsi="Arial" w:cs="Arial"/>
                <w:b/>
                <w:bCs/>
                <w:sz w:val="24"/>
                <w:szCs w:val="24"/>
                <w:lang w:val="en-GB"/>
              </w:rPr>
              <w:t xml:space="preserve"> </w:t>
            </w:r>
            <w:r w:rsidR="006235F3" w:rsidRPr="001030F5">
              <w:rPr>
                <w:rFonts w:ascii="Arial" w:eastAsia="Times New Roman" w:hAnsi="Arial" w:cs="Arial"/>
                <w:b/>
                <w:bCs/>
                <w:sz w:val="24"/>
                <w:szCs w:val="24"/>
                <w:lang w:val="en-GB"/>
              </w:rPr>
              <w:t xml:space="preserve">/ </w:t>
            </w:r>
            <w:r w:rsidRPr="001030F5">
              <w:rPr>
                <w:rFonts w:ascii="Arial" w:eastAsia="Times New Roman" w:hAnsi="Arial" w:cs="Arial"/>
                <w:b/>
                <w:bCs/>
                <w:sz w:val="24"/>
                <w:szCs w:val="24"/>
                <w:lang w:val="en-GB"/>
              </w:rPr>
              <w:t>(</w:t>
            </w:r>
            <w:r w:rsidR="00E300A6" w:rsidRPr="001030F5">
              <w:rPr>
                <w:rFonts w:ascii="Arial" w:eastAsia="Times New Roman" w:hAnsi="Arial" w:cs="Arial"/>
                <w:b/>
                <w:bCs/>
                <w:sz w:val="24"/>
                <w:szCs w:val="24"/>
                <w:lang w:val="en-GB"/>
              </w:rPr>
              <w:t>total liabilities</w:t>
            </w:r>
            <w:r w:rsidR="00C23FA7" w:rsidRPr="001030F5">
              <w:rPr>
                <w:rFonts w:ascii="Arial" w:eastAsia="Times New Roman" w:hAnsi="Arial" w:cs="Arial"/>
                <w:b/>
                <w:bCs/>
                <w:sz w:val="24"/>
                <w:szCs w:val="24"/>
                <w:lang w:val="en-GB"/>
              </w:rPr>
              <w:t xml:space="preserve"> + </w:t>
            </w:r>
            <w:r w:rsidR="00E300A6" w:rsidRPr="001030F5">
              <w:rPr>
                <w:rFonts w:ascii="Arial" w:eastAsia="Times New Roman" w:hAnsi="Arial" w:cs="Arial"/>
                <w:b/>
                <w:bCs/>
                <w:sz w:val="24"/>
                <w:szCs w:val="24"/>
                <w:lang w:val="en-GB"/>
              </w:rPr>
              <w:t>own funds</w:t>
            </w:r>
            <w:r w:rsidRPr="001030F5">
              <w:rPr>
                <w:rFonts w:ascii="Arial" w:eastAsia="Times New Roman" w:hAnsi="Arial" w:cs="Arial"/>
                <w:b/>
                <w:bCs/>
                <w:sz w:val="24"/>
                <w:szCs w:val="24"/>
                <w:lang w:val="en-GB"/>
              </w:rPr>
              <w:t>)</w:t>
            </w:r>
          </w:p>
          <w:p w14:paraId="03499153" w14:textId="19C8D280" w:rsidR="00471C07" w:rsidRPr="001030F5" w:rsidRDefault="00E300A6" w:rsidP="00DF00F1">
            <w:pPr>
              <w:widowControl w:val="0"/>
              <w:spacing w:before="60" w:after="60" w:line="240" w:lineRule="auto"/>
              <w:jc w:val="both"/>
              <w:rPr>
                <w:rFonts w:ascii="Arial" w:eastAsia="Times New Roman" w:hAnsi="Arial" w:cs="Arial"/>
                <w:sz w:val="24"/>
                <w:szCs w:val="24"/>
                <w:lang w:val="en-GB"/>
              </w:rPr>
            </w:pPr>
            <w:r w:rsidRPr="001030F5">
              <w:rPr>
                <w:rFonts w:ascii="Arial" w:eastAsia="Times New Roman" w:hAnsi="Arial" w:cs="Arial"/>
                <w:sz w:val="24"/>
                <w:szCs w:val="24"/>
                <w:lang w:val="en-GB"/>
              </w:rPr>
              <w:t>Own funds determined in accordance with the decision regulating capital adequacy</w:t>
            </w:r>
          </w:p>
          <w:p w14:paraId="4398D308" w14:textId="007205B6" w:rsidR="00471C07" w:rsidRPr="001030F5" w:rsidRDefault="00E300A6" w:rsidP="00DF00F1">
            <w:pPr>
              <w:widowControl w:val="0"/>
              <w:spacing w:before="60" w:after="60" w:line="240" w:lineRule="auto"/>
              <w:jc w:val="both"/>
              <w:rPr>
                <w:rFonts w:ascii="Arial" w:eastAsia="Times New Roman" w:hAnsi="Arial" w:cs="Arial"/>
                <w:sz w:val="24"/>
                <w:szCs w:val="24"/>
                <w:lang w:val="en-GB"/>
              </w:rPr>
            </w:pPr>
            <w:r w:rsidRPr="001030F5">
              <w:rPr>
                <w:rFonts w:ascii="Arial" w:eastAsia="Times New Roman" w:hAnsi="Arial" w:cs="Arial"/>
                <w:sz w:val="24"/>
                <w:szCs w:val="24"/>
                <w:lang w:val="en-GB"/>
              </w:rPr>
              <w:t>Eligible liabilities determined in accordance with Article 128q, paragraph 3 of the Law on Banks</w:t>
            </w:r>
            <w:r w:rsidR="00471C07" w:rsidRPr="001030F5">
              <w:rPr>
                <w:rFonts w:ascii="Arial" w:eastAsia="Times New Roman" w:hAnsi="Arial" w:cs="Arial"/>
                <w:sz w:val="24"/>
                <w:szCs w:val="24"/>
                <w:lang w:val="en-GB"/>
              </w:rPr>
              <w:t xml:space="preserve"> </w:t>
            </w:r>
          </w:p>
          <w:p w14:paraId="58E4B47E" w14:textId="2152F277" w:rsidR="006235F3" w:rsidRPr="001030F5" w:rsidRDefault="00D954C8" w:rsidP="00DF00F1">
            <w:pPr>
              <w:widowControl w:val="0"/>
              <w:spacing w:before="60" w:after="60" w:line="240" w:lineRule="auto"/>
              <w:jc w:val="both"/>
              <w:rPr>
                <w:rFonts w:ascii="Arial" w:eastAsia="Times New Roman" w:hAnsi="Arial" w:cs="Arial"/>
                <w:sz w:val="24"/>
                <w:szCs w:val="24"/>
                <w:lang w:val="en-GB"/>
              </w:rPr>
            </w:pPr>
            <w:r w:rsidRPr="001030F5">
              <w:rPr>
                <w:rFonts w:ascii="Arial" w:eastAsia="Times New Roman" w:hAnsi="Arial" w:cs="Arial"/>
                <w:sz w:val="24"/>
                <w:szCs w:val="24"/>
                <w:lang w:val="en-GB"/>
              </w:rPr>
              <w:t>MREL is the minimum requirement for own funds an</w:t>
            </w:r>
            <w:r w:rsidR="005A372A">
              <w:rPr>
                <w:rFonts w:ascii="Arial" w:eastAsia="Times New Roman" w:hAnsi="Arial" w:cs="Arial"/>
                <w:sz w:val="24"/>
                <w:szCs w:val="24"/>
                <w:lang w:val="en-GB"/>
              </w:rPr>
              <w:t>d</w:t>
            </w:r>
            <w:r w:rsidRPr="001030F5">
              <w:rPr>
                <w:rFonts w:ascii="Arial" w:eastAsia="Times New Roman" w:hAnsi="Arial" w:cs="Arial"/>
                <w:sz w:val="24"/>
                <w:szCs w:val="24"/>
                <w:lang w:val="en-GB"/>
              </w:rPr>
              <w:t xml:space="preserve"> eligible liabilities determined in accordance with the decision regulating the minimum requirement for own funds and eligible liabilities</w:t>
            </w:r>
            <w:r w:rsidR="006235F3" w:rsidRPr="001030F5">
              <w:rPr>
                <w:rFonts w:ascii="Arial" w:eastAsia="Times New Roman" w:hAnsi="Arial" w:cs="Arial"/>
                <w:sz w:val="24"/>
                <w:szCs w:val="24"/>
                <w:lang w:val="en-GB"/>
              </w:rPr>
              <w:t xml:space="preserve"> </w:t>
            </w:r>
          </w:p>
          <w:p w14:paraId="7A7A185B" w14:textId="062C75EF" w:rsidR="00C23FA7" w:rsidRPr="001030F5" w:rsidRDefault="00D954C8" w:rsidP="00DF00F1">
            <w:pPr>
              <w:widowControl w:val="0"/>
              <w:spacing w:before="60" w:after="60" w:line="240" w:lineRule="auto"/>
              <w:jc w:val="both"/>
              <w:rPr>
                <w:rFonts w:ascii="Arial" w:eastAsia="Times New Roman" w:hAnsi="Arial" w:cs="Arial"/>
                <w:sz w:val="24"/>
                <w:szCs w:val="24"/>
                <w:lang w:val="en-GB"/>
              </w:rPr>
            </w:pPr>
            <w:r w:rsidRPr="001030F5">
              <w:rPr>
                <w:rFonts w:ascii="Arial" w:eastAsia="Times New Roman" w:hAnsi="Arial" w:cs="Arial"/>
                <w:sz w:val="24"/>
                <w:szCs w:val="24"/>
                <w:lang w:val="en-GB"/>
              </w:rPr>
              <w:t>Derivative liabilities are included in the total liabilities on the basis that full recognition is given to counterparty netting rights</w:t>
            </w:r>
          </w:p>
        </w:tc>
      </w:tr>
      <w:tr w:rsidR="00D954C8" w:rsidRPr="001030F5" w14:paraId="5D2F550F" w14:textId="77777777" w:rsidTr="00DF00F1">
        <w:tc>
          <w:tcPr>
            <w:tcW w:w="2122" w:type="dxa"/>
            <w:vMerge/>
            <w:shd w:val="clear" w:color="auto" w:fill="auto"/>
            <w:vAlign w:val="center"/>
          </w:tcPr>
          <w:p w14:paraId="1BE73DF9" w14:textId="77777777" w:rsidR="00F451FE" w:rsidRPr="001030F5" w:rsidRDefault="00F451FE" w:rsidP="00DF00F1">
            <w:pPr>
              <w:widowControl w:val="0"/>
              <w:spacing w:before="60" w:after="60" w:line="240" w:lineRule="auto"/>
              <w:jc w:val="center"/>
              <w:rPr>
                <w:rFonts w:ascii="Arial" w:eastAsia="Times New Roman" w:hAnsi="Arial" w:cs="Arial"/>
                <w:b/>
                <w:bCs/>
                <w:sz w:val="24"/>
                <w:szCs w:val="24"/>
                <w:lang w:val="en-GB"/>
              </w:rPr>
            </w:pPr>
          </w:p>
        </w:tc>
        <w:tc>
          <w:tcPr>
            <w:tcW w:w="2409" w:type="dxa"/>
            <w:shd w:val="clear" w:color="auto" w:fill="auto"/>
            <w:vAlign w:val="center"/>
          </w:tcPr>
          <w:p w14:paraId="11412751" w14:textId="7D32DF28" w:rsidR="00F451FE" w:rsidRPr="001030F5" w:rsidRDefault="00471C07" w:rsidP="00DF00F1">
            <w:pPr>
              <w:widowControl w:val="0"/>
              <w:spacing w:before="60" w:after="60" w:line="240" w:lineRule="auto"/>
              <w:jc w:val="center"/>
              <w:rPr>
                <w:rFonts w:ascii="Arial" w:eastAsia="Times New Roman" w:hAnsi="Arial" w:cs="Arial"/>
                <w:b/>
                <w:bCs/>
                <w:sz w:val="24"/>
                <w:szCs w:val="24"/>
                <w:lang w:val="en-GB"/>
              </w:rPr>
            </w:pPr>
            <w:r w:rsidRPr="001030F5">
              <w:rPr>
                <w:rFonts w:ascii="Arial" w:eastAsia="Times New Roman" w:hAnsi="Arial" w:cs="Arial"/>
                <w:b/>
                <w:bCs/>
                <w:sz w:val="24"/>
                <w:szCs w:val="24"/>
                <w:lang w:val="en-GB"/>
              </w:rPr>
              <w:t xml:space="preserve"> </w:t>
            </w:r>
            <w:r w:rsidR="00D954C8" w:rsidRPr="001030F5">
              <w:rPr>
                <w:rFonts w:ascii="Arial" w:eastAsia="Times New Roman" w:hAnsi="Arial" w:cs="Arial"/>
                <w:b/>
                <w:bCs/>
                <w:sz w:val="24"/>
                <w:szCs w:val="24"/>
                <w:lang w:val="en-GB"/>
              </w:rPr>
              <w:t>leverage</w:t>
            </w:r>
          </w:p>
        </w:tc>
        <w:tc>
          <w:tcPr>
            <w:tcW w:w="5216" w:type="dxa"/>
            <w:shd w:val="clear" w:color="auto" w:fill="auto"/>
            <w:vAlign w:val="center"/>
          </w:tcPr>
          <w:p w14:paraId="62DD41BA" w14:textId="61A49B35" w:rsidR="00221FB4" w:rsidRPr="001030F5" w:rsidRDefault="00D954C8" w:rsidP="00DF00F1">
            <w:pPr>
              <w:widowControl w:val="0"/>
              <w:spacing w:before="60" w:after="60" w:line="240" w:lineRule="auto"/>
              <w:jc w:val="both"/>
              <w:rPr>
                <w:rFonts w:ascii="Arial" w:eastAsia="Times New Roman" w:hAnsi="Arial" w:cs="Arial"/>
                <w:sz w:val="24"/>
                <w:szCs w:val="24"/>
                <w:lang w:val="en-GB"/>
              </w:rPr>
            </w:pPr>
            <w:r w:rsidRPr="001030F5">
              <w:rPr>
                <w:rFonts w:ascii="Arial" w:eastAsia="Times New Roman" w:hAnsi="Arial" w:cs="Arial"/>
                <w:sz w:val="24"/>
                <w:szCs w:val="24"/>
                <w:lang w:val="en-GB"/>
              </w:rPr>
              <w:t>Leverage ratio determined in accordance with the decision regulating capital adequacy</w:t>
            </w:r>
          </w:p>
        </w:tc>
      </w:tr>
      <w:tr w:rsidR="00D954C8" w:rsidRPr="001030F5" w14:paraId="2117C5CA" w14:textId="77777777" w:rsidTr="00DF00F1">
        <w:tc>
          <w:tcPr>
            <w:tcW w:w="2122" w:type="dxa"/>
            <w:vMerge/>
            <w:shd w:val="clear" w:color="auto" w:fill="auto"/>
            <w:vAlign w:val="center"/>
          </w:tcPr>
          <w:p w14:paraId="7BDF0E24" w14:textId="77777777" w:rsidR="00471C07" w:rsidRPr="001030F5" w:rsidRDefault="00471C07" w:rsidP="00DF00F1">
            <w:pPr>
              <w:widowControl w:val="0"/>
              <w:spacing w:before="60" w:after="60" w:line="240" w:lineRule="auto"/>
              <w:jc w:val="center"/>
              <w:rPr>
                <w:rFonts w:ascii="Arial" w:eastAsia="Times New Roman" w:hAnsi="Arial" w:cs="Arial"/>
                <w:b/>
                <w:bCs/>
                <w:sz w:val="24"/>
                <w:szCs w:val="24"/>
                <w:lang w:val="en-GB"/>
              </w:rPr>
            </w:pPr>
          </w:p>
        </w:tc>
        <w:tc>
          <w:tcPr>
            <w:tcW w:w="2409" w:type="dxa"/>
            <w:shd w:val="clear" w:color="auto" w:fill="auto"/>
            <w:vAlign w:val="center"/>
          </w:tcPr>
          <w:p w14:paraId="372E7849" w14:textId="5EAA8625" w:rsidR="00471C07" w:rsidRPr="001030F5" w:rsidRDefault="00C83689" w:rsidP="00DF00F1">
            <w:pPr>
              <w:widowControl w:val="0"/>
              <w:spacing w:before="60" w:after="60" w:line="240" w:lineRule="auto"/>
              <w:jc w:val="center"/>
              <w:rPr>
                <w:rFonts w:ascii="Arial" w:eastAsia="Times New Roman" w:hAnsi="Arial" w:cs="Arial"/>
                <w:b/>
                <w:bCs/>
                <w:sz w:val="24"/>
                <w:szCs w:val="24"/>
                <w:lang w:val="en-GB"/>
              </w:rPr>
            </w:pPr>
            <w:r w:rsidRPr="001030F5">
              <w:rPr>
                <w:rFonts w:ascii="Arial" w:eastAsia="Times New Roman" w:hAnsi="Arial" w:cs="Arial"/>
                <w:b/>
                <w:bCs/>
                <w:sz w:val="24"/>
                <w:szCs w:val="24"/>
                <w:lang w:val="en-GB"/>
              </w:rPr>
              <w:t>CET1</w:t>
            </w:r>
            <w:r w:rsidR="00F47AC3" w:rsidRPr="001030F5">
              <w:rPr>
                <w:rFonts w:ascii="Arial" w:eastAsia="Times New Roman" w:hAnsi="Arial" w:cs="Arial"/>
                <w:b/>
                <w:bCs/>
                <w:sz w:val="24"/>
                <w:szCs w:val="24"/>
                <w:lang w:val="en-GB"/>
              </w:rPr>
              <w:t xml:space="preserve"> </w:t>
            </w:r>
            <w:r w:rsidR="00826092" w:rsidRPr="001030F5">
              <w:rPr>
                <w:rFonts w:ascii="Arial" w:eastAsia="Times New Roman" w:hAnsi="Arial" w:cs="Arial"/>
                <w:b/>
                <w:bCs/>
                <w:sz w:val="24"/>
                <w:szCs w:val="24"/>
                <w:lang w:val="en-GB"/>
              </w:rPr>
              <w:t>ratio</w:t>
            </w:r>
            <w:r w:rsidR="00471C07" w:rsidRPr="001030F5">
              <w:rPr>
                <w:rFonts w:ascii="Arial" w:eastAsia="Times New Roman" w:hAnsi="Arial" w:cs="Arial"/>
                <w:b/>
                <w:bCs/>
                <w:sz w:val="24"/>
                <w:szCs w:val="24"/>
                <w:lang w:val="en-GB"/>
              </w:rPr>
              <w:t xml:space="preserve"> </w:t>
            </w:r>
          </w:p>
        </w:tc>
        <w:tc>
          <w:tcPr>
            <w:tcW w:w="5216" w:type="dxa"/>
            <w:shd w:val="clear" w:color="auto" w:fill="auto"/>
            <w:vAlign w:val="center"/>
          </w:tcPr>
          <w:p w14:paraId="2211D4A7" w14:textId="68FFCB97" w:rsidR="00221FB4" w:rsidRPr="001030F5" w:rsidRDefault="00D954C8" w:rsidP="00DF00F1">
            <w:pPr>
              <w:widowControl w:val="0"/>
              <w:spacing w:before="60" w:after="60" w:line="240" w:lineRule="auto"/>
              <w:jc w:val="both"/>
              <w:rPr>
                <w:rFonts w:ascii="Arial" w:eastAsia="Times New Roman" w:hAnsi="Arial" w:cs="Arial"/>
                <w:sz w:val="24"/>
                <w:szCs w:val="24"/>
                <w:lang w:val="en-GB"/>
              </w:rPr>
            </w:pPr>
            <w:r w:rsidRPr="001030F5">
              <w:rPr>
                <w:rFonts w:ascii="Arial" w:eastAsia="Times New Roman" w:hAnsi="Arial" w:cs="Arial"/>
                <w:sz w:val="24"/>
                <w:szCs w:val="24"/>
                <w:lang w:val="en-GB"/>
              </w:rPr>
              <w:t>Common Equity Tier 1 capital ratio determined in accordance with the decision regulating capital adequacy</w:t>
            </w:r>
          </w:p>
        </w:tc>
      </w:tr>
      <w:tr w:rsidR="00D954C8" w:rsidRPr="001030F5" w14:paraId="6ADED1B7" w14:textId="77777777" w:rsidTr="00DF00F1">
        <w:tc>
          <w:tcPr>
            <w:tcW w:w="2122" w:type="dxa"/>
            <w:vMerge/>
            <w:shd w:val="clear" w:color="auto" w:fill="auto"/>
            <w:vAlign w:val="center"/>
          </w:tcPr>
          <w:p w14:paraId="280B95EC" w14:textId="77777777" w:rsidR="00471C07" w:rsidRPr="001030F5" w:rsidRDefault="00471C07" w:rsidP="00DF00F1">
            <w:pPr>
              <w:widowControl w:val="0"/>
              <w:spacing w:before="60" w:after="60" w:line="240" w:lineRule="auto"/>
              <w:jc w:val="center"/>
              <w:rPr>
                <w:rFonts w:ascii="Arial" w:eastAsia="Times New Roman" w:hAnsi="Arial" w:cs="Arial"/>
                <w:b/>
                <w:bCs/>
                <w:sz w:val="24"/>
                <w:szCs w:val="24"/>
                <w:lang w:val="en-GB"/>
              </w:rPr>
            </w:pPr>
          </w:p>
        </w:tc>
        <w:tc>
          <w:tcPr>
            <w:tcW w:w="2409" w:type="dxa"/>
            <w:shd w:val="clear" w:color="auto" w:fill="auto"/>
            <w:vAlign w:val="center"/>
          </w:tcPr>
          <w:p w14:paraId="5F8359C5" w14:textId="01CFFD1F" w:rsidR="00471C07" w:rsidRPr="001030F5" w:rsidRDefault="00CF061B" w:rsidP="00DF00F1">
            <w:pPr>
              <w:spacing w:before="60" w:after="60" w:line="240" w:lineRule="auto"/>
              <w:jc w:val="center"/>
              <w:rPr>
                <w:rFonts w:ascii="Arial" w:eastAsia="Times New Roman" w:hAnsi="Arial" w:cs="Arial"/>
                <w:b/>
                <w:bCs/>
                <w:sz w:val="24"/>
                <w:szCs w:val="24"/>
                <w:lang w:val="en-GB"/>
              </w:rPr>
            </w:pPr>
            <w:r w:rsidRPr="001030F5">
              <w:rPr>
                <w:rFonts w:ascii="Arial" w:eastAsia="Times New Roman" w:hAnsi="Arial" w:cs="Arial"/>
                <w:b/>
                <w:bCs/>
                <w:sz w:val="24"/>
                <w:szCs w:val="24"/>
                <w:lang w:val="en-GB"/>
              </w:rPr>
              <w:t>TRE /</w:t>
            </w:r>
            <w:r w:rsidR="0072393C" w:rsidRPr="001030F5">
              <w:rPr>
                <w:rFonts w:ascii="Arial" w:eastAsia="Times New Roman" w:hAnsi="Arial" w:cs="Arial"/>
                <w:b/>
                <w:bCs/>
                <w:sz w:val="24"/>
                <w:szCs w:val="24"/>
                <w:lang w:val="en-GB"/>
              </w:rPr>
              <w:t xml:space="preserve"> </w:t>
            </w:r>
            <w:r w:rsidR="00D954C8" w:rsidRPr="001030F5">
              <w:rPr>
                <w:rFonts w:ascii="Arial" w:eastAsia="Times New Roman" w:hAnsi="Arial" w:cs="Arial"/>
                <w:b/>
                <w:bCs/>
                <w:sz w:val="24"/>
                <w:szCs w:val="24"/>
                <w:lang w:val="en-GB"/>
              </w:rPr>
              <w:t>total assets</w:t>
            </w:r>
          </w:p>
        </w:tc>
        <w:tc>
          <w:tcPr>
            <w:tcW w:w="5216" w:type="dxa"/>
            <w:shd w:val="clear" w:color="auto" w:fill="auto"/>
            <w:vAlign w:val="center"/>
          </w:tcPr>
          <w:tbl>
            <w:tblPr>
              <w:tblW w:w="5000" w:type="pct"/>
              <w:shd w:val="clear" w:color="auto" w:fill="FFFFFF"/>
              <w:tblCellMar>
                <w:left w:w="0" w:type="dxa"/>
                <w:right w:w="0" w:type="dxa"/>
              </w:tblCellMar>
              <w:tblLook w:val="04A0" w:firstRow="1" w:lastRow="0" w:firstColumn="1" w:lastColumn="0" w:noHBand="0" w:noVBand="1"/>
            </w:tblPr>
            <w:tblGrid>
              <w:gridCol w:w="5000"/>
            </w:tblGrid>
            <w:tr w:rsidR="00D954C8" w:rsidRPr="00D954C8" w14:paraId="11C4C05B" w14:textId="77777777" w:rsidTr="00D954C8">
              <w:tc>
                <w:tcPr>
                  <w:tcW w:w="0" w:type="auto"/>
                  <w:shd w:val="clear" w:color="auto" w:fill="FFFFFF"/>
                  <w:hideMark/>
                </w:tcPr>
                <w:p w14:paraId="6AB736F8" w14:textId="38C322C6" w:rsidR="00D954C8" w:rsidRPr="00D954C8" w:rsidRDefault="00D954C8" w:rsidP="00D954C8">
                  <w:pPr>
                    <w:spacing w:before="120" w:after="0" w:line="312" w:lineRule="atLeast"/>
                    <w:jc w:val="both"/>
                    <w:rPr>
                      <w:rFonts w:ascii="Times New Roman" w:eastAsia="Times New Roman" w:hAnsi="Times New Roman"/>
                      <w:color w:val="333333"/>
                      <w:sz w:val="27"/>
                      <w:szCs w:val="27"/>
                      <w:lang w:val="en-GB" w:eastAsia="sr-Latn-RS"/>
                    </w:rPr>
                  </w:pPr>
                  <w:r w:rsidRPr="001030F5">
                    <w:rPr>
                      <w:rFonts w:ascii="Arial" w:eastAsia="Times New Roman" w:hAnsi="Arial" w:cs="Arial"/>
                      <w:sz w:val="24"/>
                      <w:szCs w:val="24"/>
                      <w:lang w:val="en-GB"/>
                    </w:rPr>
                    <w:t>Risk exposure amount determined in accordance with the decision regulating capital adequacy</w:t>
                  </w:r>
                  <w:r w:rsidR="00CF061B" w:rsidRPr="001030F5">
                    <w:rPr>
                      <w:rFonts w:ascii="Arial" w:eastAsia="Times New Roman" w:hAnsi="Arial" w:cs="Arial"/>
                      <w:sz w:val="24"/>
                      <w:szCs w:val="24"/>
                      <w:lang w:val="en-GB"/>
                    </w:rPr>
                    <w:t xml:space="preserve"> </w:t>
                  </w:r>
                  <w:r w:rsidR="00997052" w:rsidRPr="001030F5">
                    <w:rPr>
                      <w:rFonts w:ascii="Arial" w:eastAsia="Times New Roman" w:hAnsi="Arial" w:cs="Arial"/>
                      <w:sz w:val="24"/>
                      <w:szCs w:val="24"/>
                      <w:lang w:val="en-GB"/>
                    </w:rPr>
                    <w:t xml:space="preserve">/ </w:t>
                  </w:r>
                  <w:r w:rsidRPr="001030F5">
                    <w:rPr>
                      <w:rFonts w:ascii="Arial" w:eastAsia="Times New Roman" w:hAnsi="Arial" w:cs="Arial"/>
                      <w:sz w:val="24"/>
                      <w:szCs w:val="24"/>
                      <w:lang w:val="en-GB"/>
                    </w:rPr>
                    <w:t>Total balance sheet assets</w:t>
                  </w:r>
                </w:p>
              </w:tc>
            </w:tr>
          </w:tbl>
          <w:p w14:paraId="44142AFD" w14:textId="77777777" w:rsidR="00D954C8" w:rsidRPr="00D954C8" w:rsidRDefault="00D954C8" w:rsidP="00D954C8">
            <w:pPr>
              <w:spacing w:after="0" w:line="240" w:lineRule="auto"/>
              <w:rPr>
                <w:rFonts w:ascii="Times New Roman" w:eastAsia="Times New Roman" w:hAnsi="Times New Roman"/>
                <w:vanish/>
                <w:sz w:val="24"/>
                <w:szCs w:val="24"/>
                <w:lang w:val="en-GB" w:eastAsia="sr-Latn-RS"/>
              </w:rPr>
            </w:pPr>
          </w:p>
          <w:p w14:paraId="256D3D8B" w14:textId="11B54BAE" w:rsidR="00D954C8" w:rsidRPr="001030F5" w:rsidRDefault="00D954C8" w:rsidP="00DF00F1">
            <w:pPr>
              <w:widowControl w:val="0"/>
              <w:spacing w:before="60" w:after="60" w:line="240" w:lineRule="auto"/>
              <w:jc w:val="both"/>
              <w:rPr>
                <w:rFonts w:ascii="Arial" w:eastAsia="Times New Roman" w:hAnsi="Arial" w:cs="Arial"/>
                <w:sz w:val="24"/>
                <w:szCs w:val="24"/>
                <w:lang w:val="en-GB"/>
              </w:rPr>
            </w:pPr>
          </w:p>
        </w:tc>
      </w:tr>
      <w:tr w:rsidR="00D954C8" w:rsidRPr="001030F5" w14:paraId="754EFA0D" w14:textId="77777777" w:rsidTr="00DF00F1">
        <w:tc>
          <w:tcPr>
            <w:tcW w:w="2122" w:type="dxa"/>
            <w:vMerge w:val="restart"/>
            <w:shd w:val="clear" w:color="auto" w:fill="auto"/>
            <w:vAlign w:val="center"/>
          </w:tcPr>
          <w:p w14:paraId="0120399E" w14:textId="42BB3BCF" w:rsidR="0072393C" w:rsidRPr="001030F5" w:rsidRDefault="00D954C8" w:rsidP="00DF00F1">
            <w:pPr>
              <w:widowControl w:val="0"/>
              <w:spacing w:before="60" w:after="60" w:line="240" w:lineRule="auto"/>
              <w:jc w:val="center"/>
              <w:rPr>
                <w:rFonts w:ascii="Arial" w:eastAsia="Times New Roman" w:hAnsi="Arial" w:cs="Arial"/>
                <w:b/>
                <w:bCs/>
                <w:sz w:val="24"/>
                <w:szCs w:val="24"/>
                <w:lang w:val="en-GB"/>
              </w:rPr>
            </w:pPr>
            <w:r w:rsidRPr="001030F5">
              <w:rPr>
                <w:rFonts w:ascii="Arial" w:eastAsia="Times New Roman" w:hAnsi="Arial" w:cs="Arial"/>
                <w:b/>
                <w:bCs/>
                <w:sz w:val="24"/>
                <w:szCs w:val="24"/>
                <w:lang w:val="en-GB"/>
              </w:rPr>
              <w:t>Stability of sources of funding</w:t>
            </w:r>
          </w:p>
        </w:tc>
        <w:tc>
          <w:tcPr>
            <w:tcW w:w="2409" w:type="dxa"/>
            <w:shd w:val="clear" w:color="auto" w:fill="auto"/>
            <w:vAlign w:val="center"/>
          </w:tcPr>
          <w:p w14:paraId="4C4F17AC" w14:textId="0BF4780B" w:rsidR="0072393C" w:rsidRPr="001030F5" w:rsidRDefault="0072393C" w:rsidP="00DF00F1">
            <w:pPr>
              <w:widowControl w:val="0"/>
              <w:spacing w:before="60" w:after="60" w:line="240" w:lineRule="auto"/>
              <w:jc w:val="center"/>
              <w:rPr>
                <w:rFonts w:ascii="Arial" w:eastAsia="Times New Roman" w:hAnsi="Arial" w:cs="Arial"/>
                <w:b/>
                <w:bCs/>
                <w:sz w:val="24"/>
                <w:szCs w:val="24"/>
                <w:lang w:val="en-GB"/>
              </w:rPr>
            </w:pPr>
            <w:r w:rsidRPr="001030F5">
              <w:rPr>
                <w:rFonts w:ascii="Arial" w:eastAsia="Times New Roman" w:hAnsi="Arial" w:cs="Arial"/>
                <w:b/>
                <w:bCs/>
                <w:sz w:val="24"/>
                <w:szCs w:val="24"/>
                <w:lang w:val="en-GB"/>
              </w:rPr>
              <w:t xml:space="preserve"> NSFR</w:t>
            </w:r>
          </w:p>
        </w:tc>
        <w:tc>
          <w:tcPr>
            <w:tcW w:w="5216" w:type="dxa"/>
            <w:shd w:val="clear" w:color="auto" w:fill="auto"/>
            <w:vAlign w:val="center"/>
          </w:tcPr>
          <w:p w14:paraId="2BCD1297" w14:textId="72B4F5DD" w:rsidR="0072393C" w:rsidRPr="001030F5" w:rsidRDefault="00D954C8" w:rsidP="00DF00F1">
            <w:pPr>
              <w:widowControl w:val="0"/>
              <w:spacing w:before="60" w:after="60" w:line="240" w:lineRule="auto"/>
              <w:jc w:val="both"/>
              <w:rPr>
                <w:rFonts w:ascii="Arial" w:eastAsia="Times New Roman" w:hAnsi="Arial" w:cs="Arial"/>
                <w:sz w:val="24"/>
                <w:szCs w:val="24"/>
                <w:lang w:val="en-GB"/>
              </w:rPr>
            </w:pPr>
            <w:r w:rsidRPr="001030F5">
              <w:rPr>
                <w:rFonts w:ascii="Arial" w:eastAsia="Times New Roman" w:hAnsi="Arial" w:cs="Arial"/>
                <w:sz w:val="24"/>
                <w:szCs w:val="24"/>
                <w:lang w:val="en-GB"/>
              </w:rPr>
              <w:t>Net stable funding ratio determined in accordance with the decision regulating liquidity risk management by banks</w:t>
            </w:r>
            <w:r w:rsidR="00A5231D" w:rsidRPr="001030F5">
              <w:rPr>
                <w:rFonts w:ascii="Arial" w:eastAsia="Times New Roman" w:hAnsi="Arial" w:cs="Arial"/>
                <w:sz w:val="24"/>
                <w:szCs w:val="24"/>
                <w:lang w:val="en-GB"/>
              </w:rPr>
              <w:t xml:space="preserve"> </w:t>
            </w:r>
          </w:p>
        </w:tc>
      </w:tr>
      <w:tr w:rsidR="00D954C8" w:rsidRPr="001030F5" w14:paraId="277F52F9" w14:textId="77777777" w:rsidTr="00DF00F1">
        <w:tc>
          <w:tcPr>
            <w:tcW w:w="2122" w:type="dxa"/>
            <w:vMerge/>
            <w:shd w:val="clear" w:color="auto" w:fill="auto"/>
            <w:vAlign w:val="center"/>
          </w:tcPr>
          <w:p w14:paraId="71DBC4B3" w14:textId="77777777" w:rsidR="0072393C" w:rsidRPr="001030F5" w:rsidRDefault="0072393C" w:rsidP="00DF00F1">
            <w:pPr>
              <w:widowControl w:val="0"/>
              <w:spacing w:before="60" w:after="60" w:line="240" w:lineRule="auto"/>
              <w:rPr>
                <w:rFonts w:ascii="Arial" w:eastAsia="Times New Roman" w:hAnsi="Arial" w:cs="Arial"/>
                <w:b/>
                <w:bCs/>
                <w:sz w:val="24"/>
                <w:szCs w:val="24"/>
                <w:lang w:val="en-GB"/>
              </w:rPr>
            </w:pPr>
          </w:p>
        </w:tc>
        <w:tc>
          <w:tcPr>
            <w:tcW w:w="2409" w:type="dxa"/>
            <w:shd w:val="clear" w:color="auto" w:fill="auto"/>
            <w:vAlign w:val="center"/>
          </w:tcPr>
          <w:p w14:paraId="1715EA29" w14:textId="7640B638" w:rsidR="0072393C" w:rsidRPr="001030F5" w:rsidRDefault="0072393C" w:rsidP="00DF00F1">
            <w:pPr>
              <w:widowControl w:val="0"/>
              <w:spacing w:before="60" w:after="60" w:line="240" w:lineRule="auto"/>
              <w:jc w:val="center"/>
              <w:rPr>
                <w:rFonts w:ascii="Arial" w:eastAsia="Times New Roman" w:hAnsi="Arial" w:cs="Arial"/>
                <w:b/>
                <w:bCs/>
                <w:sz w:val="24"/>
                <w:szCs w:val="24"/>
                <w:lang w:val="en-GB"/>
              </w:rPr>
            </w:pPr>
            <w:r w:rsidRPr="001030F5">
              <w:rPr>
                <w:rFonts w:ascii="Arial" w:eastAsia="Times New Roman" w:hAnsi="Arial" w:cs="Arial"/>
                <w:b/>
                <w:bCs/>
                <w:sz w:val="24"/>
                <w:szCs w:val="24"/>
                <w:lang w:val="en-GB"/>
              </w:rPr>
              <w:t xml:space="preserve"> </w:t>
            </w:r>
            <w:r w:rsidR="00C83689" w:rsidRPr="001030F5">
              <w:rPr>
                <w:rFonts w:ascii="Arial" w:eastAsia="Times New Roman" w:hAnsi="Arial" w:cs="Arial"/>
                <w:b/>
                <w:bCs/>
                <w:sz w:val="24"/>
                <w:szCs w:val="24"/>
                <w:lang w:val="en-GB"/>
              </w:rPr>
              <w:t>LCR</w:t>
            </w:r>
          </w:p>
        </w:tc>
        <w:tc>
          <w:tcPr>
            <w:tcW w:w="5216" w:type="dxa"/>
            <w:shd w:val="clear" w:color="auto" w:fill="auto"/>
            <w:vAlign w:val="center"/>
          </w:tcPr>
          <w:p w14:paraId="22C62B7E" w14:textId="273C6B71" w:rsidR="0072393C" w:rsidRPr="001030F5" w:rsidRDefault="00D954C8" w:rsidP="00DF00F1">
            <w:pPr>
              <w:widowControl w:val="0"/>
              <w:spacing w:before="60" w:after="60" w:line="240" w:lineRule="auto"/>
              <w:jc w:val="both"/>
              <w:rPr>
                <w:rFonts w:ascii="Arial" w:eastAsia="Times New Roman" w:hAnsi="Arial" w:cs="Arial"/>
                <w:sz w:val="24"/>
                <w:szCs w:val="24"/>
                <w:lang w:val="en-GB"/>
              </w:rPr>
            </w:pPr>
            <w:r w:rsidRPr="001030F5">
              <w:rPr>
                <w:rFonts w:ascii="Arial" w:eastAsia="Times New Roman" w:hAnsi="Arial" w:cs="Arial"/>
                <w:sz w:val="24"/>
                <w:szCs w:val="24"/>
                <w:lang w:val="en-GB"/>
              </w:rPr>
              <w:t xml:space="preserve">Liquidity coverage ratio determined in accordance </w:t>
            </w:r>
            <w:r w:rsidR="001030F5" w:rsidRPr="001030F5">
              <w:rPr>
                <w:rFonts w:ascii="Arial" w:eastAsia="Times New Roman" w:hAnsi="Arial" w:cs="Arial"/>
                <w:sz w:val="24"/>
                <w:szCs w:val="24"/>
                <w:lang w:val="en-GB"/>
              </w:rPr>
              <w:t>with</w:t>
            </w:r>
            <w:r w:rsidRPr="001030F5">
              <w:rPr>
                <w:rFonts w:ascii="Arial" w:eastAsia="Times New Roman" w:hAnsi="Arial" w:cs="Arial"/>
                <w:sz w:val="24"/>
                <w:szCs w:val="24"/>
                <w:lang w:val="en-GB"/>
              </w:rPr>
              <w:t xml:space="preserve"> the decision regulating liquidity risk management by banks</w:t>
            </w:r>
            <w:r w:rsidR="00F61DB4" w:rsidRPr="001030F5">
              <w:rPr>
                <w:rFonts w:ascii="Arial" w:eastAsia="Times New Roman" w:hAnsi="Arial" w:cs="Arial"/>
                <w:sz w:val="24"/>
                <w:szCs w:val="24"/>
                <w:lang w:val="en-GB"/>
              </w:rPr>
              <w:t xml:space="preserve"> </w:t>
            </w:r>
          </w:p>
        </w:tc>
      </w:tr>
      <w:tr w:rsidR="00D954C8" w:rsidRPr="001030F5" w14:paraId="6EA64E3C" w14:textId="77777777" w:rsidTr="00DF00F1">
        <w:tc>
          <w:tcPr>
            <w:tcW w:w="2122" w:type="dxa"/>
            <w:shd w:val="clear" w:color="auto" w:fill="auto"/>
            <w:vAlign w:val="center"/>
          </w:tcPr>
          <w:p w14:paraId="7881AB2B" w14:textId="7867F84F" w:rsidR="00814F25" w:rsidRPr="001030F5" w:rsidRDefault="00D954C8" w:rsidP="00DF00F1">
            <w:pPr>
              <w:widowControl w:val="0"/>
              <w:spacing w:before="60" w:after="60" w:line="240" w:lineRule="auto"/>
              <w:jc w:val="center"/>
              <w:rPr>
                <w:rFonts w:ascii="Arial" w:eastAsia="Times New Roman" w:hAnsi="Arial" w:cs="Arial"/>
                <w:b/>
                <w:bCs/>
                <w:sz w:val="24"/>
                <w:szCs w:val="24"/>
                <w:lang w:val="en-GB"/>
              </w:rPr>
            </w:pPr>
            <w:r w:rsidRPr="001030F5">
              <w:rPr>
                <w:rFonts w:ascii="Arial" w:eastAsia="Times New Roman" w:hAnsi="Arial" w:cs="Arial"/>
                <w:b/>
                <w:bCs/>
                <w:sz w:val="24"/>
                <w:szCs w:val="24"/>
                <w:lang w:val="en-GB"/>
              </w:rPr>
              <w:t>Importance of a bank to financial stability</w:t>
            </w:r>
          </w:p>
        </w:tc>
        <w:tc>
          <w:tcPr>
            <w:tcW w:w="2409" w:type="dxa"/>
            <w:shd w:val="clear" w:color="auto" w:fill="auto"/>
            <w:vAlign w:val="center"/>
          </w:tcPr>
          <w:p w14:paraId="21908403" w14:textId="2D184429" w:rsidR="00814F25" w:rsidRPr="001030F5" w:rsidRDefault="00D954C8" w:rsidP="00DF00F1">
            <w:pPr>
              <w:widowControl w:val="0"/>
              <w:spacing w:before="60" w:after="60" w:line="240" w:lineRule="auto"/>
              <w:jc w:val="center"/>
              <w:rPr>
                <w:rFonts w:ascii="Arial" w:eastAsia="Times New Roman" w:hAnsi="Arial" w:cs="Arial"/>
                <w:b/>
                <w:bCs/>
                <w:sz w:val="24"/>
                <w:szCs w:val="24"/>
                <w:lang w:val="en-GB"/>
              </w:rPr>
            </w:pPr>
            <w:r w:rsidRPr="001030F5">
              <w:rPr>
                <w:rFonts w:ascii="Arial" w:eastAsia="Times New Roman" w:hAnsi="Arial" w:cs="Arial"/>
                <w:b/>
                <w:bCs/>
                <w:sz w:val="24"/>
                <w:szCs w:val="24"/>
                <w:lang w:val="en-GB"/>
              </w:rPr>
              <w:t>share of the bank in interbank loans and deposits</w:t>
            </w:r>
          </w:p>
        </w:tc>
        <w:tc>
          <w:tcPr>
            <w:tcW w:w="5216" w:type="dxa"/>
            <w:shd w:val="clear" w:color="auto" w:fill="auto"/>
            <w:vAlign w:val="center"/>
          </w:tcPr>
          <w:p w14:paraId="40253670" w14:textId="50C627AB" w:rsidR="00814F25" w:rsidRPr="001030F5" w:rsidRDefault="00D954C8" w:rsidP="00DF00F1">
            <w:pPr>
              <w:widowControl w:val="0"/>
              <w:spacing w:before="60" w:after="60" w:line="240" w:lineRule="auto"/>
              <w:jc w:val="both"/>
              <w:rPr>
                <w:rFonts w:ascii="Arial" w:eastAsia="Times New Roman" w:hAnsi="Arial" w:cs="Arial"/>
                <w:sz w:val="24"/>
                <w:szCs w:val="24"/>
                <w:lang w:val="en-GB"/>
              </w:rPr>
            </w:pPr>
            <w:r w:rsidRPr="001030F5">
              <w:rPr>
                <w:rFonts w:ascii="Arial" w:eastAsia="Times New Roman" w:hAnsi="Arial" w:cs="Arial"/>
                <w:sz w:val="24"/>
                <w:szCs w:val="24"/>
                <w:lang w:val="en-GB"/>
              </w:rPr>
              <w:t>Share of the bank in interbank loans and deposits of all banks in the Republic of Serbia</w:t>
            </w:r>
          </w:p>
        </w:tc>
      </w:tr>
      <w:tr w:rsidR="00D954C8" w:rsidRPr="001030F5" w14:paraId="5CA7E579" w14:textId="77777777" w:rsidTr="00DF00F1">
        <w:tc>
          <w:tcPr>
            <w:tcW w:w="2122" w:type="dxa"/>
            <w:vMerge w:val="restart"/>
            <w:shd w:val="clear" w:color="auto" w:fill="auto"/>
            <w:vAlign w:val="center"/>
          </w:tcPr>
          <w:p w14:paraId="6F9A2920" w14:textId="7DB90439" w:rsidR="00F26A50" w:rsidRPr="001030F5" w:rsidRDefault="00D954C8" w:rsidP="00DF00F1">
            <w:pPr>
              <w:widowControl w:val="0"/>
              <w:spacing w:before="60" w:after="60" w:line="240" w:lineRule="auto"/>
              <w:jc w:val="center"/>
              <w:rPr>
                <w:rFonts w:ascii="Arial" w:eastAsia="Times New Roman" w:hAnsi="Arial" w:cs="Arial"/>
                <w:b/>
                <w:bCs/>
                <w:sz w:val="24"/>
                <w:szCs w:val="24"/>
                <w:lang w:val="en-GB"/>
              </w:rPr>
            </w:pPr>
            <w:r w:rsidRPr="001030F5">
              <w:rPr>
                <w:rFonts w:ascii="Arial" w:eastAsia="Times New Roman" w:hAnsi="Arial" w:cs="Arial"/>
                <w:b/>
                <w:bCs/>
                <w:sz w:val="24"/>
                <w:szCs w:val="24"/>
                <w:lang w:val="en-GB"/>
              </w:rPr>
              <w:lastRenderedPageBreak/>
              <w:t>Additional risk indicators</w:t>
            </w:r>
          </w:p>
        </w:tc>
        <w:tc>
          <w:tcPr>
            <w:tcW w:w="2409" w:type="dxa"/>
            <w:tcBorders>
              <w:bottom w:val="single" w:sz="4" w:space="0" w:color="auto"/>
            </w:tcBorders>
            <w:shd w:val="clear" w:color="auto" w:fill="auto"/>
            <w:vAlign w:val="center"/>
          </w:tcPr>
          <w:p w14:paraId="0828A9CA" w14:textId="031996CE" w:rsidR="00F26A50" w:rsidRPr="001030F5" w:rsidRDefault="00D954C8" w:rsidP="00DF00F1">
            <w:pPr>
              <w:widowControl w:val="0"/>
              <w:spacing w:before="60" w:after="60" w:line="240" w:lineRule="auto"/>
              <w:jc w:val="center"/>
              <w:rPr>
                <w:rFonts w:ascii="Arial" w:eastAsia="Times New Roman" w:hAnsi="Arial" w:cs="Arial"/>
                <w:b/>
                <w:bCs/>
                <w:sz w:val="24"/>
                <w:szCs w:val="24"/>
                <w:lang w:val="en-GB"/>
              </w:rPr>
            </w:pPr>
            <w:r w:rsidRPr="001030F5">
              <w:rPr>
                <w:rFonts w:ascii="Arial" w:eastAsia="Times New Roman" w:hAnsi="Arial" w:cs="Arial"/>
                <w:b/>
                <w:bCs/>
                <w:sz w:val="24"/>
                <w:szCs w:val="24"/>
                <w:lang w:val="en-GB"/>
              </w:rPr>
              <w:t>share of the trading portfolio in total assets</w:t>
            </w:r>
          </w:p>
        </w:tc>
        <w:tc>
          <w:tcPr>
            <w:tcW w:w="5216" w:type="dxa"/>
            <w:shd w:val="clear" w:color="auto" w:fill="auto"/>
            <w:vAlign w:val="center"/>
          </w:tcPr>
          <w:p w14:paraId="1B0652EC" w14:textId="1E846E7C" w:rsidR="00F26A50" w:rsidRPr="001030F5" w:rsidRDefault="00D954C8" w:rsidP="00DF00F1">
            <w:pPr>
              <w:widowControl w:val="0"/>
              <w:spacing w:before="60" w:after="60" w:line="240" w:lineRule="auto"/>
              <w:jc w:val="both"/>
              <w:rPr>
                <w:rFonts w:ascii="Arial" w:eastAsia="Times New Roman" w:hAnsi="Arial" w:cs="Arial"/>
                <w:sz w:val="24"/>
                <w:szCs w:val="24"/>
                <w:lang w:val="en-GB"/>
              </w:rPr>
            </w:pPr>
            <w:r w:rsidRPr="001030F5">
              <w:rPr>
                <w:rFonts w:ascii="Arial" w:eastAsia="Times New Roman" w:hAnsi="Arial" w:cs="Arial"/>
                <w:sz w:val="24"/>
                <w:szCs w:val="24"/>
                <w:lang w:val="en-GB"/>
              </w:rPr>
              <w:t xml:space="preserve">Total portfolio of financial </w:t>
            </w:r>
            <w:r w:rsidR="001030F5" w:rsidRPr="001030F5">
              <w:rPr>
                <w:rFonts w:ascii="Arial" w:eastAsia="Times New Roman" w:hAnsi="Arial" w:cs="Arial"/>
                <w:sz w:val="24"/>
                <w:szCs w:val="24"/>
                <w:lang w:val="en-GB"/>
              </w:rPr>
              <w:t>instruments</w:t>
            </w:r>
            <w:r w:rsidRPr="001030F5">
              <w:rPr>
                <w:rFonts w:ascii="Arial" w:eastAsia="Times New Roman" w:hAnsi="Arial" w:cs="Arial"/>
                <w:sz w:val="24"/>
                <w:szCs w:val="24"/>
                <w:lang w:val="en-GB"/>
              </w:rPr>
              <w:t xml:space="preserve"> measured at fair value </w:t>
            </w:r>
            <w:r w:rsidR="00F71650" w:rsidRPr="001030F5">
              <w:rPr>
                <w:rFonts w:ascii="Arial" w:eastAsia="Times New Roman" w:hAnsi="Arial" w:cs="Arial"/>
                <w:sz w:val="24"/>
                <w:szCs w:val="24"/>
                <w:lang w:val="en-GB"/>
              </w:rPr>
              <w:t>through the income statement and those available for sale</w:t>
            </w:r>
            <w:r w:rsidR="00BF545B" w:rsidRPr="001030F5">
              <w:rPr>
                <w:rFonts w:ascii="Arial" w:eastAsia="Times New Roman" w:hAnsi="Arial" w:cs="Arial"/>
                <w:sz w:val="24"/>
                <w:szCs w:val="24"/>
                <w:lang w:val="en-GB"/>
              </w:rPr>
              <w:t xml:space="preserve"> / </w:t>
            </w:r>
            <w:r w:rsidR="00F71650" w:rsidRPr="001030F5">
              <w:rPr>
                <w:rFonts w:ascii="Arial" w:eastAsia="Times New Roman" w:hAnsi="Arial" w:cs="Arial"/>
                <w:sz w:val="24"/>
                <w:szCs w:val="24"/>
                <w:lang w:val="en-GB"/>
              </w:rPr>
              <w:t>Total assets</w:t>
            </w:r>
          </w:p>
        </w:tc>
      </w:tr>
      <w:tr w:rsidR="00D954C8" w:rsidRPr="001030F5" w14:paraId="6C644155" w14:textId="77777777" w:rsidTr="00DF00F1">
        <w:tc>
          <w:tcPr>
            <w:tcW w:w="2122" w:type="dxa"/>
            <w:vMerge/>
            <w:shd w:val="clear" w:color="auto" w:fill="auto"/>
            <w:vAlign w:val="center"/>
          </w:tcPr>
          <w:p w14:paraId="301B4693" w14:textId="77777777" w:rsidR="00F26A50" w:rsidRPr="001030F5" w:rsidRDefault="00F26A50" w:rsidP="00DF00F1">
            <w:pPr>
              <w:widowControl w:val="0"/>
              <w:spacing w:before="60" w:after="60" w:line="240" w:lineRule="auto"/>
              <w:jc w:val="center"/>
              <w:rPr>
                <w:rFonts w:ascii="Arial" w:eastAsia="Times New Roman" w:hAnsi="Arial" w:cs="Arial"/>
                <w:b/>
                <w:bCs/>
                <w:sz w:val="24"/>
                <w:szCs w:val="24"/>
                <w:lang w:val="en-GB"/>
              </w:rPr>
            </w:pPr>
          </w:p>
        </w:tc>
        <w:tc>
          <w:tcPr>
            <w:tcW w:w="2409" w:type="dxa"/>
            <w:tcBorders>
              <w:bottom w:val="single" w:sz="4" w:space="0" w:color="auto"/>
            </w:tcBorders>
            <w:shd w:val="clear" w:color="auto" w:fill="auto"/>
            <w:vAlign w:val="center"/>
          </w:tcPr>
          <w:p w14:paraId="216F334C" w14:textId="7AFE33A3" w:rsidR="00F26A50" w:rsidRPr="001030F5" w:rsidRDefault="00F71650" w:rsidP="00DF00F1">
            <w:pPr>
              <w:widowControl w:val="0"/>
              <w:spacing w:before="60" w:after="60" w:line="240" w:lineRule="auto"/>
              <w:jc w:val="center"/>
              <w:rPr>
                <w:rFonts w:ascii="Arial" w:eastAsia="Times New Roman" w:hAnsi="Arial" w:cs="Arial"/>
                <w:b/>
                <w:bCs/>
                <w:sz w:val="24"/>
                <w:szCs w:val="24"/>
                <w:lang w:val="en-GB"/>
              </w:rPr>
            </w:pPr>
            <w:r w:rsidRPr="001030F5">
              <w:rPr>
                <w:rFonts w:ascii="Arial" w:eastAsia="Times New Roman" w:hAnsi="Arial" w:cs="Arial"/>
                <w:b/>
                <w:bCs/>
                <w:sz w:val="24"/>
                <w:szCs w:val="24"/>
                <w:lang w:val="en-GB"/>
              </w:rPr>
              <w:t>share of off-balance sheet exposures in total assets</w:t>
            </w:r>
            <w:r w:rsidR="007B0F2D" w:rsidRPr="001030F5" w:rsidDel="00BF545B">
              <w:rPr>
                <w:rFonts w:ascii="Arial" w:eastAsia="Times New Roman" w:hAnsi="Arial" w:cs="Arial"/>
                <w:b/>
                <w:bCs/>
                <w:sz w:val="24"/>
                <w:szCs w:val="24"/>
                <w:lang w:val="en-GB"/>
              </w:rPr>
              <w:t xml:space="preserve"> </w:t>
            </w:r>
          </w:p>
        </w:tc>
        <w:tc>
          <w:tcPr>
            <w:tcW w:w="5216" w:type="dxa"/>
            <w:shd w:val="clear" w:color="auto" w:fill="auto"/>
            <w:vAlign w:val="center"/>
          </w:tcPr>
          <w:p w14:paraId="420F9F6F" w14:textId="03B2B637" w:rsidR="00F26A50" w:rsidRPr="001030F5" w:rsidRDefault="00F71650" w:rsidP="00DF00F1">
            <w:pPr>
              <w:widowControl w:val="0"/>
              <w:spacing w:before="60" w:after="60" w:line="240" w:lineRule="auto"/>
              <w:jc w:val="both"/>
              <w:rPr>
                <w:rFonts w:ascii="Arial" w:eastAsia="Times New Roman" w:hAnsi="Arial" w:cs="Arial"/>
                <w:sz w:val="24"/>
                <w:szCs w:val="24"/>
                <w:lang w:val="en-GB"/>
              </w:rPr>
            </w:pPr>
            <w:r w:rsidRPr="001030F5">
              <w:rPr>
                <w:rFonts w:ascii="Arial" w:eastAsia="Times New Roman" w:hAnsi="Arial" w:cs="Arial"/>
                <w:sz w:val="24"/>
                <w:szCs w:val="24"/>
                <w:lang w:val="en-GB"/>
              </w:rPr>
              <w:t xml:space="preserve">Total nominal value of irrevocable </w:t>
            </w:r>
            <w:r w:rsidR="001030F5" w:rsidRPr="001030F5">
              <w:rPr>
                <w:rFonts w:ascii="Arial" w:eastAsia="Times New Roman" w:hAnsi="Arial" w:cs="Arial"/>
                <w:sz w:val="24"/>
                <w:szCs w:val="24"/>
                <w:lang w:val="en-GB"/>
              </w:rPr>
              <w:t>commitments</w:t>
            </w:r>
            <w:r w:rsidRPr="001030F5">
              <w:rPr>
                <w:rFonts w:ascii="Arial" w:eastAsia="Times New Roman" w:hAnsi="Arial" w:cs="Arial"/>
                <w:sz w:val="24"/>
                <w:szCs w:val="24"/>
                <w:lang w:val="en-GB"/>
              </w:rPr>
              <w:t xml:space="preserve">, financial guarantees and other </w:t>
            </w:r>
            <w:r w:rsidR="001030F5" w:rsidRPr="001030F5">
              <w:rPr>
                <w:rFonts w:ascii="Arial" w:eastAsia="Times New Roman" w:hAnsi="Arial" w:cs="Arial"/>
                <w:sz w:val="24"/>
                <w:szCs w:val="24"/>
                <w:lang w:val="en-GB"/>
              </w:rPr>
              <w:t>commitments</w:t>
            </w:r>
          </w:p>
        </w:tc>
      </w:tr>
      <w:tr w:rsidR="00D954C8" w:rsidRPr="001030F5" w14:paraId="0C549595" w14:textId="77777777" w:rsidTr="00DF00F1">
        <w:tc>
          <w:tcPr>
            <w:tcW w:w="2122" w:type="dxa"/>
            <w:vMerge/>
            <w:shd w:val="clear" w:color="auto" w:fill="auto"/>
            <w:vAlign w:val="center"/>
          </w:tcPr>
          <w:p w14:paraId="5D2B5C2E" w14:textId="77777777" w:rsidR="00FB19AF" w:rsidRPr="001030F5" w:rsidRDefault="00FB19AF" w:rsidP="00DF00F1">
            <w:pPr>
              <w:widowControl w:val="0"/>
              <w:spacing w:before="60" w:after="60" w:line="240" w:lineRule="auto"/>
              <w:jc w:val="center"/>
              <w:rPr>
                <w:rFonts w:ascii="Arial" w:eastAsia="Times New Roman" w:hAnsi="Arial" w:cs="Arial"/>
                <w:b/>
                <w:bCs/>
                <w:sz w:val="24"/>
                <w:szCs w:val="24"/>
                <w:lang w:val="en-GB"/>
              </w:rPr>
            </w:pPr>
          </w:p>
        </w:tc>
        <w:tc>
          <w:tcPr>
            <w:tcW w:w="2409" w:type="dxa"/>
            <w:tcBorders>
              <w:bottom w:val="single" w:sz="4" w:space="0" w:color="auto"/>
            </w:tcBorders>
            <w:shd w:val="clear" w:color="auto" w:fill="auto"/>
            <w:vAlign w:val="center"/>
          </w:tcPr>
          <w:p w14:paraId="637C25C1" w14:textId="5C5A3F8F" w:rsidR="00FB19AF" w:rsidRPr="001030F5" w:rsidRDefault="00F71650" w:rsidP="00DF00F1">
            <w:pPr>
              <w:widowControl w:val="0"/>
              <w:spacing w:before="60" w:after="60" w:line="240" w:lineRule="auto"/>
              <w:jc w:val="center"/>
              <w:rPr>
                <w:rFonts w:ascii="Arial" w:eastAsia="Times New Roman" w:hAnsi="Arial" w:cs="Arial"/>
                <w:b/>
                <w:bCs/>
                <w:sz w:val="24"/>
                <w:szCs w:val="24"/>
                <w:lang w:val="en-GB"/>
              </w:rPr>
            </w:pPr>
            <w:r w:rsidRPr="001030F5">
              <w:rPr>
                <w:rFonts w:ascii="Arial" w:eastAsia="Times New Roman" w:hAnsi="Arial" w:cs="Arial"/>
                <w:b/>
                <w:bCs/>
                <w:sz w:val="24"/>
                <w:szCs w:val="24"/>
                <w:lang w:val="en-GB"/>
              </w:rPr>
              <w:t>share</w:t>
            </w:r>
            <w:r w:rsidR="007B0F2D" w:rsidRPr="001030F5">
              <w:rPr>
                <w:rFonts w:ascii="Arial" w:eastAsia="Times New Roman" w:hAnsi="Arial" w:cs="Arial"/>
                <w:b/>
                <w:bCs/>
                <w:sz w:val="24"/>
                <w:szCs w:val="24"/>
                <w:lang w:val="en-GB"/>
              </w:rPr>
              <w:t xml:space="preserve"> </w:t>
            </w:r>
            <w:r w:rsidRPr="001030F5">
              <w:rPr>
                <w:rFonts w:ascii="Arial" w:eastAsia="Times New Roman" w:hAnsi="Arial" w:cs="Arial"/>
                <w:b/>
                <w:bCs/>
                <w:sz w:val="24"/>
                <w:szCs w:val="24"/>
                <w:lang w:val="en-GB"/>
              </w:rPr>
              <w:t>of derivative business in total assets</w:t>
            </w:r>
          </w:p>
        </w:tc>
        <w:tc>
          <w:tcPr>
            <w:tcW w:w="5216" w:type="dxa"/>
            <w:shd w:val="clear" w:color="auto" w:fill="auto"/>
            <w:vAlign w:val="center"/>
          </w:tcPr>
          <w:p w14:paraId="2CC13D2C" w14:textId="76D00AB0" w:rsidR="00FB19AF" w:rsidRPr="001030F5" w:rsidRDefault="00F71650" w:rsidP="00DF00F1">
            <w:pPr>
              <w:widowControl w:val="0"/>
              <w:spacing w:before="60" w:after="60" w:line="240" w:lineRule="auto"/>
              <w:jc w:val="both"/>
              <w:rPr>
                <w:rFonts w:ascii="Arial" w:eastAsia="Times New Roman" w:hAnsi="Arial" w:cs="Arial"/>
                <w:sz w:val="24"/>
                <w:szCs w:val="24"/>
                <w:lang w:val="en-GB"/>
              </w:rPr>
            </w:pPr>
            <w:bookmarkStart w:id="0" w:name="_Hlk182837798"/>
            <w:r w:rsidRPr="001030F5">
              <w:rPr>
                <w:rFonts w:ascii="Arial" w:eastAsia="Times New Roman" w:hAnsi="Arial" w:cs="Arial"/>
                <w:sz w:val="24"/>
                <w:szCs w:val="24"/>
                <w:lang w:val="en-GB"/>
              </w:rPr>
              <w:t>Total nominal value of derivatives held for trading and derivatives held for internal hedging / Total assets</w:t>
            </w:r>
            <w:bookmarkEnd w:id="0"/>
          </w:p>
        </w:tc>
      </w:tr>
      <w:tr w:rsidR="00D954C8" w:rsidRPr="001030F5" w14:paraId="32A7B7AB" w14:textId="77777777" w:rsidTr="00DF00F1">
        <w:tc>
          <w:tcPr>
            <w:tcW w:w="2122" w:type="dxa"/>
            <w:vMerge/>
            <w:shd w:val="clear" w:color="auto" w:fill="auto"/>
            <w:vAlign w:val="center"/>
          </w:tcPr>
          <w:p w14:paraId="23FB2B61" w14:textId="77777777" w:rsidR="00FB19AF" w:rsidRPr="001030F5" w:rsidRDefault="00FB19AF" w:rsidP="00DF00F1">
            <w:pPr>
              <w:widowControl w:val="0"/>
              <w:spacing w:before="60" w:after="60" w:line="240" w:lineRule="auto"/>
              <w:jc w:val="center"/>
              <w:rPr>
                <w:rFonts w:ascii="Arial" w:eastAsia="Times New Roman" w:hAnsi="Arial" w:cs="Arial"/>
                <w:b/>
                <w:bCs/>
                <w:sz w:val="24"/>
                <w:szCs w:val="24"/>
                <w:lang w:val="en-GB"/>
              </w:rPr>
            </w:pPr>
          </w:p>
        </w:tc>
        <w:tc>
          <w:tcPr>
            <w:tcW w:w="2409" w:type="dxa"/>
            <w:tcBorders>
              <w:bottom w:val="single" w:sz="4" w:space="0" w:color="auto"/>
            </w:tcBorders>
            <w:shd w:val="clear" w:color="auto" w:fill="auto"/>
            <w:vAlign w:val="center"/>
          </w:tcPr>
          <w:p w14:paraId="75BBEF31" w14:textId="0F4E103F" w:rsidR="00FB19AF" w:rsidRPr="001030F5" w:rsidRDefault="00F71650" w:rsidP="00DF00F1">
            <w:pPr>
              <w:widowControl w:val="0"/>
              <w:spacing w:before="60" w:after="60" w:line="240" w:lineRule="auto"/>
              <w:jc w:val="center"/>
              <w:rPr>
                <w:rFonts w:ascii="Arial" w:eastAsia="Times New Roman" w:hAnsi="Arial" w:cs="Arial"/>
                <w:b/>
                <w:bCs/>
                <w:sz w:val="24"/>
                <w:szCs w:val="24"/>
                <w:lang w:val="en-GB"/>
              </w:rPr>
            </w:pPr>
            <w:r w:rsidRPr="001030F5">
              <w:rPr>
                <w:rFonts w:ascii="Arial" w:eastAsia="Times New Roman" w:hAnsi="Arial" w:cs="Arial"/>
                <w:b/>
                <w:bCs/>
                <w:sz w:val="24"/>
                <w:szCs w:val="24"/>
                <w:lang w:val="en-GB"/>
              </w:rPr>
              <w:t>share</w:t>
            </w:r>
            <w:r w:rsidR="007B0F2D" w:rsidRPr="001030F5">
              <w:rPr>
                <w:rFonts w:ascii="Arial" w:eastAsia="Times New Roman" w:hAnsi="Arial" w:cs="Arial"/>
                <w:b/>
                <w:bCs/>
                <w:sz w:val="24"/>
                <w:szCs w:val="24"/>
                <w:lang w:val="en-GB"/>
              </w:rPr>
              <w:t xml:space="preserve"> </w:t>
            </w:r>
            <w:r w:rsidRPr="001030F5">
              <w:rPr>
                <w:rFonts w:ascii="Arial" w:eastAsia="Times New Roman" w:hAnsi="Arial" w:cs="Arial"/>
                <w:b/>
                <w:bCs/>
                <w:sz w:val="24"/>
                <w:szCs w:val="24"/>
                <w:lang w:val="en-GB"/>
              </w:rPr>
              <w:t>of gross NPLs in total loans</w:t>
            </w:r>
          </w:p>
        </w:tc>
        <w:tc>
          <w:tcPr>
            <w:tcW w:w="5216" w:type="dxa"/>
            <w:shd w:val="clear" w:color="auto" w:fill="auto"/>
            <w:vAlign w:val="center"/>
          </w:tcPr>
          <w:p w14:paraId="2D7D1552" w14:textId="51469202" w:rsidR="00FB19AF" w:rsidRPr="001030F5" w:rsidRDefault="00F71650" w:rsidP="00DF00F1">
            <w:pPr>
              <w:widowControl w:val="0"/>
              <w:spacing w:before="60" w:after="60" w:line="240" w:lineRule="auto"/>
              <w:jc w:val="both"/>
              <w:rPr>
                <w:rFonts w:ascii="Arial" w:eastAsia="Times New Roman" w:hAnsi="Arial" w:cs="Arial"/>
                <w:sz w:val="24"/>
                <w:szCs w:val="24"/>
                <w:lang w:val="en-GB"/>
              </w:rPr>
            </w:pPr>
            <w:r w:rsidRPr="001030F5">
              <w:rPr>
                <w:rFonts w:ascii="Arial" w:eastAsia="Times New Roman" w:hAnsi="Arial" w:cs="Arial"/>
                <w:sz w:val="24"/>
                <w:szCs w:val="24"/>
                <w:lang w:val="en-GB"/>
              </w:rPr>
              <w:t xml:space="preserve">Non-performing loans </w:t>
            </w:r>
            <w:r w:rsidR="001030F5" w:rsidRPr="001030F5">
              <w:rPr>
                <w:rFonts w:ascii="Arial" w:eastAsia="Times New Roman" w:hAnsi="Arial" w:cs="Arial"/>
                <w:sz w:val="24"/>
                <w:szCs w:val="24"/>
                <w:lang w:val="en-GB"/>
              </w:rPr>
              <w:t>determined</w:t>
            </w:r>
            <w:r w:rsidRPr="001030F5">
              <w:rPr>
                <w:rFonts w:ascii="Arial" w:eastAsia="Times New Roman" w:hAnsi="Arial" w:cs="Arial"/>
                <w:sz w:val="24"/>
                <w:szCs w:val="24"/>
                <w:lang w:val="en-GB"/>
              </w:rPr>
              <w:t xml:space="preserve"> in accordance with the decision regulating the classification of balance sheet and off-balance sheet assets of banks</w:t>
            </w:r>
          </w:p>
        </w:tc>
      </w:tr>
      <w:tr w:rsidR="00D954C8" w:rsidRPr="001030F5" w14:paraId="29ED648C" w14:textId="77777777" w:rsidTr="00DF00F1">
        <w:tc>
          <w:tcPr>
            <w:tcW w:w="2122" w:type="dxa"/>
            <w:vMerge/>
            <w:shd w:val="clear" w:color="auto" w:fill="auto"/>
            <w:vAlign w:val="center"/>
          </w:tcPr>
          <w:p w14:paraId="673DDC88" w14:textId="77777777" w:rsidR="00FB19AF" w:rsidRPr="001030F5" w:rsidRDefault="00FB19AF" w:rsidP="00DF00F1">
            <w:pPr>
              <w:widowControl w:val="0"/>
              <w:spacing w:before="60" w:after="60" w:line="240" w:lineRule="auto"/>
              <w:jc w:val="center"/>
              <w:rPr>
                <w:rFonts w:ascii="Arial" w:eastAsia="Times New Roman" w:hAnsi="Arial" w:cs="Arial"/>
                <w:b/>
                <w:bCs/>
                <w:sz w:val="24"/>
                <w:szCs w:val="24"/>
                <w:lang w:val="en-GB"/>
              </w:rPr>
            </w:pPr>
          </w:p>
        </w:tc>
        <w:tc>
          <w:tcPr>
            <w:tcW w:w="2409" w:type="dxa"/>
            <w:tcBorders>
              <w:bottom w:val="single" w:sz="4" w:space="0" w:color="auto"/>
            </w:tcBorders>
            <w:shd w:val="clear" w:color="auto" w:fill="auto"/>
            <w:vAlign w:val="center"/>
          </w:tcPr>
          <w:p w14:paraId="4B423D33" w14:textId="4CED2B01" w:rsidR="00FB19AF" w:rsidRPr="001030F5" w:rsidRDefault="00F71650" w:rsidP="00DF00F1">
            <w:pPr>
              <w:widowControl w:val="0"/>
              <w:spacing w:before="60" w:after="60" w:line="240" w:lineRule="auto"/>
              <w:jc w:val="center"/>
              <w:rPr>
                <w:rFonts w:ascii="Arial" w:eastAsia="Times New Roman" w:hAnsi="Arial" w:cs="Arial"/>
                <w:b/>
                <w:bCs/>
                <w:sz w:val="24"/>
                <w:szCs w:val="24"/>
                <w:lang w:val="en-GB"/>
              </w:rPr>
            </w:pPr>
            <w:r w:rsidRPr="001030F5">
              <w:rPr>
                <w:rFonts w:ascii="Arial" w:eastAsia="Times New Roman" w:hAnsi="Arial" w:cs="Arial"/>
                <w:b/>
                <w:bCs/>
                <w:sz w:val="24"/>
                <w:szCs w:val="24"/>
                <w:lang w:val="en-GB"/>
              </w:rPr>
              <w:t>share</w:t>
            </w:r>
            <w:r w:rsidR="007B0F2D" w:rsidRPr="001030F5">
              <w:rPr>
                <w:rFonts w:ascii="Arial" w:eastAsia="Times New Roman" w:hAnsi="Arial" w:cs="Arial"/>
                <w:b/>
                <w:bCs/>
                <w:sz w:val="24"/>
                <w:szCs w:val="24"/>
                <w:lang w:val="en-GB"/>
              </w:rPr>
              <w:t xml:space="preserve"> </w:t>
            </w:r>
            <w:r w:rsidRPr="001030F5">
              <w:rPr>
                <w:rFonts w:ascii="Arial" w:eastAsia="Times New Roman" w:hAnsi="Arial" w:cs="Arial"/>
                <w:b/>
                <w:bCs/>
                <w:sz w:val="24"/>
                <w:szCs w:val="24"/>
                <w:lang w:val="en-GB"/>
              </w:rPr>
              <w:t xml:space="preserve">of net </w:t>
            </w:r>
            <w:r w:rsidR="001030F5">
              <w:rPr>
                <w:rFonts w:ascii="Arial" w:eastAsia="Times New Roman" w:hAnsi="Arial" w:cs="Arial"/>
                <w:b/>
                <w:bCs/>
                <w:sz w:val="24"/>
                <w:szCs w:val="24"/>
                <w:lang w:val="en-GB"/>
              </w:rPr>
              <w:t>NPLs</w:t>
            </w:r>
            <w:r w:rsidRPr="001030F5">
              <w:rPr>
                <w:rFonts w:ascii="Arial" w:eastAsia="Times New Roman" w:hAnsi="Arial" w:cs="Arial"/>
                <w:b/>
                <w:bCs/>
                <w:sz w:val="24"/>
                <w:szCs w:val="24"/>
                <w:lang w:val="en-GB"/>
              </w:rPr>
              <w:t xml:space="preserve"> in core capital</w:t>
            </w:r>
          </w:p>
        </w:tc>
        <w:tc>
          <w:tcPr>
            <w:tcW w:w="5216" w:type="dxa"/>
            <w:shd w:val="clear" w:color="auto" w:fill="auto"/>
            <w:vAlign w:val="center"/>
          </w:tcPr>
          <w:p w14:paraId="274C01CA" w14:textId="0D7CC6F8" w:rsidR="00FB19AF" w:rsidRPr="001030F5" w:rsidRDefault="00F71650" w:rsidP="00DF00F1">
            <w:pPr>
              <w:widowControl w:val="0"/>
              <w:spacing w:before="60" w:after="60" w:line="240" w:lineRule="auto"/>
              <w:jc w:val="both"/>
              <w:rPr>
                <w:rFonts w:ascii="Arial" w:eastAsia="Times New Roman" w:hAnsi="Arial" w:cs="Arial"/>
                <w:sz w:val="24"/>
                <w:szCs w:val="24"/>
                <w:lang w:val="en-GB"/>
              </w:rPr>
            </w:pPr>
            <w:r w:rsidRPr="001030F5">
              <w:rPr>
                <w:rFonts w:ascii="Arial" w:eastAsia="Times New Roman" w:hAnsi="Arial" w:cs="Arial"/>
                <w:sz w:val="24"/>
                <w:szCs w:val="24"/>
                <w:lang w:val="en-GB"/>
              </w:rPr>
              <w:t xml:space="preserve">Core capital determined in accordance with the decision </w:t>
            </w:r>
            <w:r w:rsidR="001030F5" w:rsidRPr="001030F5">
              <w:rPr>
                <w:rFonts w:ascii="Arial" w:eastAsia="Times New Roman" w:hAnsi="Arial" w:cs="Arial"/>
                <w:sz w:val="24"/>
                <w:szCs w:val="24"/>
                <w:lang w:val="en-GB"/>
              </w:rPr>
              <w:t>regulating</w:t>
            </w:r>
            <w:r w:rsidRPr="001030F5">
              <w:rPr>
                <w:rFonts w:ascii="Arial" w:eastAsia="Times New Roman" w:hAnsi="Arial" w:cs="Arial"/>
                <w:sz w:val="24"/>
                <w:szCs w:val="24"/>
                <w:lang w:val="en-GB"/>
              </w:rPr>
              <w:t xml:space="preserve"> capital </w:t>
            </w:r>
            <w:r w:rsidR="001030F5" w:rsidRPr="001030F5">
              <w:rPr>
                <w:rFonts w:ascii="Arial" w:eastAsia="Times New Roman" w:hAnsi="Arial" w:cs="Arial"/>
                <w:sz w:val="24"/>
                <w:szCs w:val="24"/>
                <w:lang w:val="en-GB"/>
              </w:rPr>
              <w:t>adequacy</w:t>
            </w:r>
          </w:p>
        </w:tc>
      </w:tr>
      <w:tr w:rsidR="00D954C8" w:rsidRPr="001030F5" w14:paraId="3547CFA2" w14:textId="77777777" w:rsidTr="00DF00F1">
        <w:tc>
          <w:tcPr>
            <w:tcW w:w="2122" w:type="dxa"/>
            <w:vMerge/>
            <w:shd w:val="clear" w:color="auto" w:fill="auto"/>
            <w:vAlign w:val="center"/>
          </w:tcPr>
          <w:p w14:paraId="13371140" w14:textId="77777777" w:rsidR="00FB19AF" w:rsidRPr="001030F5" w:rsidRDefault="00FB19AF" w:rsidP="00DF00F1">
            <w:pPr>
              <w:widowControl w:val="0"/>
              <w:spacing w:before="60" w:after="60" w:line="240" w:lineRule="auto"/>
              <w:jc w:val="center"/>
              <w:rPr>
                <w:rFonts w:ascii="Arial" w:eastAsia="Times New Roman" w:hAnsi="Arial" w:cs="Arial"/>
                <w:b/>
                <w:bCs/>
                <w:sz w:val="24"/>
                <w:szCs w:val="24"/>
                <w:lang w:val="en-GB"/>
              </w:rPr>
            </w:pPr>
          </w:p>
        </w:tc>
        <w:tc>
          <w:tcPr>
            <w:tcW w:w="2409" w:type="dxa"/>
            <w:shd w:val="clear" w:color="auto" w:fill="auto"/>
            <w:vAlign w:val="center"/>
          </w:tcPr>
          <w:p w14:paraId="429D752E" w14:textId="49A78CEF" w:rsidR="00FB19AF" w:rsidRPr="001030F5" w:rsidRDefault="00FB19AF" w:rsidP="00DF00F1">
            <w:pPr>
              <w:widowControl w:val="0"/>
              <w:spacing w:before="60" w:after="60" w:line="240" w:lineRule="auto"/>
              <w:jc w:val="center"/>
              <w:rPr>
                <w:rFonts w:ascii="Arial" w:eastAsia="Times New Roman" w:hAnsi="Arial" w:cs="Arial"/>
                <w:b/>
                <w:bCs/>
                <w:sz w:val="24"/>
                <w:szCs w:val="24"/>
                <w:lang w:val="en-GB"/>
              </w:rPr>
            </w:pPr>
            <w:r w:rsidRPr="001030F5">
              <w:rPr>
                <w:rFonts w:ascii="Arial" w:eastAsia="Times New Roman" w:hAnsi="Arial" w:cs="Arial"/>
                <w:b/>
                <w:bCs/>
                <w:sz w:val="24"/>
                <w:szCs w:val="24"/>
                <w:lang w:val="en-GB"/>
              </w:rPr>
              <w:t xml:space="preserve"> ROA</w:t>
            </w:r>
            <w:r w:rsidR="00FD1054" w:rsidRPr="001030F5">
              <w:rPr>
                <w:rFonts w:ascii="Arial" w:eastAsia="Times New Roman" w:hAnsi="Arial" w:cs="Arial"/>
                <w:b/>
                <w:bCs/>
                <w:sz w:val="24"/>
                <w:szCs w:val="24"/>
                <w:lang w:val="en-GB"/>
              </w:rPr>
              <w:t xml:space="preserve"> (</w:t>
            </w:r>
            <w:r w:rsidR="00F71650" w:rsidRPr="001030F5">
              <w:rPr>
                <w:rFonts w:ascii="Arial" w:eastAsia="Times New Roman" w:hAnsi="Arial" w:cs="Arial"/>
                <w:b/>
                <w:bCs/>
                <w:sz w:val="24"/>
                <w:szCs w:val="24"/>
                <w:lang w:val="en-GB"/>
              </w:rPr>
              <w:t>after tax</w:t>
            </w:r>
            <w:r w:rsidR="00FD1054" w:rsidRPr="001030F5">
              <w:rPr>
                <w:rFonts w:ascii="Arial" w:eastAsia="Times New Roman" w:hAnsi="Arial" w:cs="Arial"/>
                <w:b/>
                <w:bCs/>
                <w:sz w:val="24"/>
                <w:szCs w:val="24"/>
                <w:lang w:val="en-GB"/>
              </w:rPr>
              <w:t>)</w:t>
            </w:r>
          </w:p>
        </w:tc>
        <w:tc>
          <w:tcPr>
            <w:tcW w:w="5216" w:type="dxa"/>
            <w:shd w:val="clear" w:color="auto" w:fill="auto"/>
            <w:vAlign w:val="center"/>
          </w:tcPr>
          <w:p w14:paraId="2DA530A4" w14:textId="756AC2A6" w:rsidR="00FB19AF" w:rsidRPr="001030F5" w:rsidRDefault="00F71650" w:rsidP="00DF00F1">
            <w:pPr>
              <w:widowControl w:val="0"/>
              <w:spacing w:before="60" w:after="60" w:line="240" w:lineRule="auto"/>
              <w:rPr>
                <w:rFonts w:ascii="Arial" w:eastAsia="Times New Roman" w:hAnsi="Arial" w:cs="Arial"/>
                <w:sz w:val="24"/>
                <w:szCs w:val="24"/>
                <w:lang w:val="en-GB"/>
              </w:rPr>
            </w:pPr>
            <w:r w:rsidRPr="001030F5">
              <w:rPr>
                <w:rFonts w:ascii="Arial" w:eastAsia="Times New Roman" w:hAnsi="Arial" w:cs="Arial"/>
                <w:sz w:val="24"/>
                <w:szCs w:val="24"/>
                <w:lang w:val="en-GB"/>
              </w:rPr>
              <w:t>Annual rate of return on total assets after tax</w:t>
            </w:r>
          </w:p>
        </w:tc>
      </w:tr>
      <w:tr w:rsidR="00D954C8" w:rsidRPr="001030F5" w14:paraId="315B5429" w14:textId="77777777" w:rsidTr="00DF00F1">
        <w:tc>
          <w:tcPr>
            <w:tcW w:w="2122" w:type="dxa"/>
            <w:vMerge/>
            <w:shd w:val="clear" w:color="auto" w:fill="auto"/>
            <w:vAlign w:val="center"/>
          </w:tcPr>
          <w:p w14:paraId="1EF53B57" w14:textId="77777777" w:rsidR="00FB19AF" w:rsidRPr="001030F5" w:rsidRDefault="00FB19AF" w:rsidP="00DF00F1">
            <w:pPr>
              <w:widowControl w:val="0"/>
              <w:spacing w:before="60" w:after="60" w:line="240" w:lineRule="auto"/>
              <w:jc w:val="center"/>
              <w:rPr>
                <w:rFonts w:ascii="Arial" w:eastAsia="Times New Roman" w:hAnsi="Arial" w:cs="Arial"/>
                <w:b/>
                <w:bCs/>
                <w:sz w:val="24"/>
                <w:szCs w:val="24"/>
                <w:lang w:val="en-GB"/>
              </w:rPr>
            </w:pPr>
          </w:p>
        </w:tc>
        <w:tc>
          <w:tcPr>
            <w:tcW w:w="2409" w:type="dxa"/>
            <w:tcBorders>
              <w:bottom w:val="single" w:sz="4" w:space="0" w:color="auto"/>
            </w:tcBorders>
            <w:shd w:val="clear" w:color="auto" w:fill="auto"/>
            <w:vAlign w:val="center"/>
          </w:tcPr>
          <w:p w14:paraId="40F24901" w14:textId="38170296" w:rsidR="00FB19AF" w:rsidRPr="001030F5" w:rsidDel="007C6687" w:rsidRDefault="00F71650" w:rsidP="00F71650">
            <w:pPr>
              <w:widowControl w:val="0"/>
              <w:spacing w:before="60" w:after="60" w:line="240" w:lineRule="auto"/>
              <w:jc w:val="center"/>
              <w:rPr>
                <w:rFonts w:ascii="Arial" w:eastAsia="Times New Roman" w:hAnsi="Arial" w:cs="Arial"/>
                <w:b/>
                <w:sz w:val="24"/>
                <w:szCs w:val="24"/>
                <w:lang w:val="en-GB"/>
              </w:rPr>
            </w:pPr>
            <w:r w:rsidRPr="001030F5">
              <w:rPr>
                <w:rFonts w:ascii="Arial" w:hAnsi="Arial" w:cs="Arial"/>
                <w:b/>
                <w:color w:val="1A1617"/>
                <w:sz w:val="24"/>
                <w:szCs w:val="24"/>
                <w:lang w:val="en-GB"/>
              </w:rPr>
              <w:t>extent of previous extraordinary financial support</w:t>
            </w:r>
          </w:p>
        </w:tc>
        <w:tc>
          <w:tcPr>
            <w:tcW w:w="5216" w:type="dxa"/>
            <w:shd w:val="clear" w:color="auto" w:fill="auto"/>
            <w:vAlign w:val="center"/>
          </w:tcPr>
          <w:p w14:paraId="29E78162" w14:textId="77777777" w:rsidR="00FB19AF" w:rsidRPr="001030F5" w:rsidRDefault="00FB19AF" w:rsidP="00DF00F1">
            <w:pPr>
              <w:widowControl w:val="0"/>
              <w:spacing w:before="60" w:after="60" w:line="240" w:lineRule="auto"/>
              <w:rPr>
                <w:rFonts w:ascii="Arial" w:eastAsia="Times New Roman" w:hAnsi="Arial" w:cs="Arial"/>
                <w:sz w:val="24"/>
                <w:szCs w:val="24"/>
                <w:lang w:val="en-GB"/>
              </w:rPr>
            </w:pPr>
          </w:p>
        </w:tc>
      </w:tr>
    </w:tbl>
    <w:p w14:paraId="17B86E48" w14:textId="77777777" w:rsidR="00D453EF" w:rsidRPr="001030F5" w:rsidRDefault="00D453EF" w:rsidP="00DF00F1">
      <w:pPr>
        <w:widowControl w:val="0"/>
        <w:spacing w:after="0" w:line="240" w:lineRule="auto"/>
        <w:jc w:val="both"/>
        <w:rPr>
          <w:rFonts w:ascii="Arial" w:hAnsi="Arial" w:cs="Arial"/>
          <w:sz w:val="28"/>
          <w:szCs w:val="28"/>
          <w:lang w:val="en-GB"/>
        </w:rPr>
      </w:pPr>
    </w:p>
    <w:p w14:paraId="4B651255" w14:textId="085E0E57" w:rsidR="00D453EF" w:rsidRPr="001030F5" w:rsidRDefault="00F71650" w:rsidP="00DF00F1">
      <w:pPr>
        <w:widowControl w:val="0"/>
        <w:numPr>
          <w:ilvl w:val="0"/>
          <w:numId w:val="3"/>
        </w:numPr>
        <w:spacing w:after="0" w:line="240" w:lineRule="auto"/>
        <w:ind w:left="0" w:firstLine="0"/>
        <w:jc w:val="center"/>
        <w:rPr>
          <w:rFonts w:ascii="Arial" w:hAnsi="Arial" w:cs="Arial"/>
          <w:b/>
          <w:color w:val="1A1617"/>
          <w:sz w:val="28"/>
          <w:szCs w:val="28"/>
          <w:lang w:val="en-GB"/>
        </w:rPr>
      </w:pPr>
      <w:r w:rsidRPr="001030F5">
        <w:rPr>
          <w:rFonts w:ascii="Arial" w:hAnsi="Arial" w:cs="Arial"/>
          <w:b/>
          <w:color w:val="1A1617"/>
          <w:sz w:val="28"/>
          <w:szCs w:val="28"/>
          <w:lang w:val="en-GB"/>
        </w:rPr>
        <w:t>Discretization of the indicators</w:t>
      </w:r>
    </w:p>
    <w:p w14:paraId="7F7D21EA" w14:textId="77777777" w:rsidR="00D453EF" w:rsidRPr="001030F5" w:rsidRDefault="00D453EF" w:rsidP="00DF00F1">
      <w:pPr>
        <w:widowControl w:val="0"/>
        <w:spacing w:after="0" w:line="240" w:lineRule="auto"/>
        <w:jc w:val="center"/>
        <w:rPr>
          <w:rFonts w:ascii="Arial" w:hAnsi="Arial" w:cs="Arial"/>
          <w:b/>
          <w:color w:val="1A1617"/>
          <w:sz w:val="28"/>
          <w:szCs w:val="28"/>
          <w:lang w:val="en-GB"/>
        </w:rPr>
      </w:pPr>
    </w:p>
    <w:p w14:paraId="61A16241" w14:textId="1655033C" w:rsidR="00E640D3" w:rsidRPr="001030F5" w:rsidRDefault="0048091D" w:rsidP="00DF00F1">
      <w:pPr>
        <w:widowControl w:val="0"/>
        <w:spacing w:after="0" w:line="240" w:lineRule="auto"/>
        <w:jc w:val="both"/>
        <w:rPr>
          <w:rFonts w:ascii="Arial" w:hAnsi="Arial" w:cs="Arial"/>
          <w:bCs/>
          <w:color w:val="1A1617"/>
          <w:sz w:val="28"/>
          <w:szCs w:val="28"/>
          <w:lang w:val="en-GB"/>
        </w:rPr>
      </w:pPr>
      <w:r w:rsidRPr="001030F5">
        <w:rPr>
          <w:rFonts w:ascii="Arial" w:hAnsi="Arial" w:cs="Arial"/>
          <w:bCs/>
          <w:color w:val="1A1617"/>
          <w:sz w:val="28"/>
          <w:szCs w:val="28"/>
          <w:lang w:val="en-GB"/>
        </w:rPr>
        <w:tab/>
      </w:r>
      <w:r w:rsidR="00477954" w:rsidRPr="001030F5">
        <w:rPr>
          <w:rFonts w:ascii="Arial" w:hAnsi="Arial" w:cs="Arial"/>
          <w:bCs/>
          <w:color w:val="1A1617"/>
          <w:sz w:val="28"/>
          <w:szCs w:val="28"/>
          <w:lang w:val="en-GB"/>
        </w:rPr>
        <w:t>2</w:t>
      </w:r>
      <w:r w:rsidRPr="001030F5">
        <w:rPr>
          <w:rFonts w:ascii="Arial" w:hAnsi="Arial" w:cs="Arial"/>
          <w:bCs/>
          <w:color w:val="1A1617"/>
          <w:sz w:val="28"/>
          <w:szCs w:val="28"/>
          <w:lang w:val="en-GB"/>
        </w:rPr>
        <w:t>.</w:t>
      </w:r>
      <w:r w:rsidRPr="001030F5">
        <w:rPr>
          <w:rFonts w:ascii="Arial" w:hAnsi="Arial" w:cs="Arial"/>
          <w:bCs/>
          <w:color w:val="1A1617"/>
          <w:sz w:val="28"/>
          <w:szCs w:val="28"/>
          <w:lang w:val="en-GB"/>
        </w:rPr>
        <w:tab/>
      </w:r>
      <w:r w:rsidR="00F71650" w:rsidRPr="001030F5">
        <w:rPr>
          <w:rFonts w:ascii="Arial" w:hAnsi="Arial" w:cs="Arial"/>
          <w:bCs/>
          <w:color w:val="1A1617"/>
          <w:sz w:val="28"/>
          <w:szCs w:val="28"/>
          <w:lang w:val="en-GB"/>
        </w:rPr>
        <w:t>For each main indicator set out in Section 1 of this Annex</w:t>
      </w:r>
      <w:r w:rsidR="00835465" w:rsidRPr="001030F5">
        <w:rPr>
          <w:rFonts w:ascii="Arial" w:hAnsi="Arial" w:cs="Arial"/>
          <w:bCs/>
          <w:color w:val="1A1617"/>
          <w:sz w:val="28"/>
          <w:szCs w:val="28"/>
          <w:lang w:val="en-GB"/>
        </w:rPr>
        <w:t xml:space="preserve"> (</w:t>
      </w:r>
      <w:r w:rsidR="00171C7A" w:rsidRPr="001030F5">
        <w:rPr>
          <w:rFonts w:ascii="Arial" w:hAnsi="Arial" w:cs="Arial"/>
          <w:b/>
          <w:i/>
          <w:iCs/>
          <w:color w:val="1A1617"/>
          <w:sz w:val="28"/>
          <w:szCs w:val="28"/>
          <w:lang w:val="en-GB"/>
        </w:rPr>
        <w:t>x</w:t>
      </w:r>
      <w:r w:rsidR="0048659D" w:rsidRPr="001030F5">
        <w:rPr>
          <w:rFonts w:ascii="Arial" w:hAnsi="Arial" w:cs="Arial"/>
          <w:b/>
          <w:i/>
          <w:iCs/>
          <w:color w:val="1A1617"/>
          <w:sz w:val="28"/>
          <w:szCs w:val="28"/>
          <w:vertAlign w:val="subscript"/>
          <w:lang w:val="en-GB"/>
        </w:rPr>
        <w:t>ij</w:t>
      </w:r>
      <w:r w:rsidR="00835465" w:rsidRPr="001030F5">
        <w:rPr>
          <w:rFonts w:ascii="Arial" w:hAnsi="Arial" w:cs="Arial"/>
          <w:bCs/>
          <w:color w:val="1A1617"/>
          <w:sz w:val="28"/>
          <w:szCs w:val="28"/>
          <w:lang w:val="en-GB"/>
        </w:rPr>
        <w:t>)</w:t>
      </w:r>
      <w:r w:rsidR="00F71650" w:rsidRPr="001030F5">
        <w:rPr>
          <w:rFonts w:ascii="Arial" w:hAnsi="Arial" w:cs="Arial"/>
          <w:bCs/>
          <w:color w:val="1A1617"/>
          <w:sz w:val="28"/>
          <w:szCs w:val="28"/>
          <w:lang w:val="en-GB"/>
        </w:rPr>
        <w:t>, the number of bins</w:t>
      </w:r>
      <w:r w:rsidR="00835465" w:rsidRPr="001030F5">
        <w:rPr>
          <w:rFonts w:ascii="Arial" w:hAnsi="Arial" w:cs="Arial"/>
          <w:bCs/>
          <w:color w:val="1A1617"/>
          <w:sz w:val="28"/>
          <w:szCs w:val="28"/>
          <w:lang w:val="en-GB"/>
        </w:rPr>
        <w:t xml:space="preserve"> (</w:t>
      </w:r>
      <w:r w:rsidR="0048659D" w:rsidRPr="001030F5">
        <w:rPr>
          <w:rFonts w:ascii="Arial" w:hAnsi="Arial" w:cs="Arial"/>
          <w:b/>
          <w:i/>
          <w:iCs/>
          <w:color w:val="1A1617"/>
          <w:sz w:val="28"/>
          <w:szCs w:val="28"/>
          <w:lang w:val="en-GB"/>
        </w:rPr>
        <w:t>k</w:t>
      </w:r>
      <w:r w:rsidR="0048659D" w:rsidRPr="001030F5">
        <w:rPr>
          <w:rFonts w:ascii="Arial" w:hAnsi="Arial" w:cs="Arial"/>
          <w:b/>
          <w:i/>
          <w:iCs/>
          <w:color w:val="1A1617"/>
          <w:sz w:val="28"/>
          <w:szCs w:val="28"/>
          <w:vertAlign w:val="subscript"/>
          <w:lang w:val="en-GB"/>
        </w:rPr>
        <w:t>ij</w:t>
      </w:r>
      <w:r w:rsidR="00835465" w:rsidRPr="001030F5">
        <w:rPr>
          <w:rFonts w:ascii="Arial" w:hAnsi="Arial" w:cs="Arial"/>
          <w:bCs/>
          <w:i/>
          <w:iCs/>
          <w:color w:val="1A1617"/>
          <w:sz w:val="28"/>
          <w:szCs w:val="28"/>
          <w:lang w:val="en-GB"/>
        </w:rPr>
        <w:t>)</w:t>
      </w:r>
      <w:r w:rsidR="00F71650" w:rsidRPr="001030F5">
        <w:rPr>
          <w:rFonts w:ascii="Arial" w:hAnsi="Arial" w:cs="Arial"/>
          <w:bCs/>
          <w:color w:val="1A1617"/>
          <w:sz w:val="28"/>
          <w:szCs w:val="28"/>
          <w:lang w:val="en-GB"/>
        </w:rPr>
        <w:t xml:space="preserve"> shall be calculated as the nearest integer to</w:t>
      </w:r>
      <w:r w:rsidR="003D6C9A" w:rsidRPr="001030F5">
        <w:rPr>
          <w:rFonts w:ascii="Arial" w:hAnsi="Arial" w:cs="Arial"/>
          <w:bCs/>
          <w:color w:val="1A1617"/>
          <w:sz w:val="28"/>
          <w:szCs w:val="28"/>
          <w:lang w:val="en-GB"/>
        </w:rPr>
        <w:t>:</w:t>
      </w:r>
    </w:p>
    <w:p w14:paraId="0743367A" w14:textId="6EBFB44E" w:rsidR="003D6C9A" w:rsidRPr="001030F5" w:rsidRDefault="00C809AA" w:rsidP="00DF00F1">
      <w:pPr>
        <w:widowControl w:val="0"/>
        <w:spacing w:after="0" w:line="240" w:lineRule="auto"/>
        <w:jc w:val="both"/>
        <w:rPr>
          <w:rFonts w:ascii="Arial" w:hAnsi="Arial" w:cs="Arial"/>
          <w:sz w:val="28"/>
          <w:szCs w:val="28"/>
          <w:lang w:val="en-GB"/>
        </w:rPr>
      </w:pPr>
      <w:r w:rsidRPr="001030F5">
        <w:rPr>
          <w:rFonts w:ascii="Arial" w:hAnsi="Arial" w:cs="Arial"/>
          <w:noProof/>
          <w:sz w:val="28"/>
          <w:szCs w:val="28"/>
          <w:lang w:val="en-GB"/>
        </w:rPr>
        <w:drawing>
          <wp:inline distT="0" distB="0" distL="0" distR="0" wp14:anchorId="685B5BE4" wp14:editId="1EDBBBC8">
            <wp:extent cx="5498465" cy="542290"/>
            <wp:effectExtent l="0" t="0" r="0" b="0"/>
            <wp:docPr id="1"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98465" cy="542290"/>
                    </a:xfrm>
                    <a:prstGeom prst="rect">
                      <a:avLst/>
                    </a:prstGeom>
                    <a:noFill/>
                    <a:ln>
                      <a:noFill/>
                    </a:ln>
                  </pic:spPr>
                </pic:pic>
              </a:graphicData>
            </a:graphic>
          </wp:inline>
        </w:drawing>
      </w:r>
    </w:p>
    <w:p w14:paraId="388D9826" w14:textId="138AD170" w:rsidR="003D6C9A" w:rsidRPr="001030F5" w:rsidRDefault="00F71650" w:rsidP="00DF00F1">
      <w:pPr>
        <w:widowControl w:val="0"/>
        <w:spacing w:after="0" w:line="240" w:lineRule="auto"/>
        <w:jc w:val="both"/>
        <w:rPr>
          <w:rFonts w:ascii="Arial" w:hAnsi="Arial" w:cs="Arial"/>
          <w:sz w:val="28"/>
          <w:szCs w:val="28"/>
          <w:lang w:val="en-GB"/>
        </w:rPr>
      </w:pPr>
      <w:r w:rsidRPr="001030F5">
        <w:rPr>
          <w:rFonts w:ascii="Arial" w:hAnsi="Arial" w:cs="Arial"/>
          <w:sz w:val="28"/>
          <w:szCs w:val="28"/>
          <w:lang w:val="en-GB"/>
        </w:rPr>
        <w:t>where</w:t>
      </w:r>
      <w:r w:rsidR="003D6C9A" w:rsidRPr="001030F5">
        <w:rPr>
          <w:rFonts w:ascii="Arial" w:hAnsi="Arial" w:cs="Arial"/>
          <w:sz w:val="28"/>
          <w:szCs w:val="28"/>
          <w:lang w:val="en-GB"/>
        </w:rPr>
        <w:t xml:space="preserve">: </w:t>
      </w:r>
    </w:p>
    <w:p w14:paraId="2B12BBA1" w14:textId="77777777" w:rsidR="00847049" w:rsidRPr="001030F5" w:rsidRDefault="00847049" w:rsidP="00DF00F1">
      <w:pPr>
        <w:widowControl w:val="0"/>
        <w:spacing w:after="0" w:line="240" w:lineRule="auto"/>
        <w:jc w:val="both"/>
        <w:rPr>
          <w:rFonts w:ascii="Arial" w:hAnsi="Arial" w:cs="Arial"/>
          <w:sz w:val="28"/>
          <w:szCs w:val="28"/>
          <w:lang w:val="en-GB"/>
        </w:rPr>
      </w:pPr>
    </w:p>
    <w:p w14:paraId="08B4D074" w14:textId="135E5DA9" w:rsidR="00847049" w:rsidRPr="001030F5" w:rsidRDefault="00847049" w:rsidP="00DF00F1">
      <w:pPr>
        <w:widowControl w:val="0"/>
        <w:spacing w:after="0" w:line="240" w:lineRule="auto"/>
        <w:jc w:val="both"/>
        <w:rPr>
          <w:rFonts w:ascii="Arial" w:hAnsi="Arial" w:cs="Arial"/>
          <w:bCs/>
          <w:color w:val="1A1617"/>
          <w:sz w:val="28"/>
          <w:szCs w:val="28"/>
          <w:lang w:val="en-GB"/>
        </w:rPr>
      </w:pPr>
      <w:r w:rsidRPr="001030F5">
        <w:rPr>
          <w:rFonts w:ascii="Arial" w:hAnsi="Arial" w:cs="Arial"/>
          <w:b/>
          <w:i/>
          <w:iCs/>
          <w:color w:val="1A1617"/>
          <w:sz w:val="28"/>
          <w:szCs w:val="28"/>
          <w:lang w:val="en-GB"/>
        </w:rPr>
        <w:t>n</w:t>
      </w:r>
      <w:r w:rsidR="00477954" w:rsidRPr="001030F5">
        <w:rPr>
          <w:rFonts w:ascii="Arial" w:hAnsi="Arial" w:cs="Arial"/>
          <w:sz w:val="28"/>
          <w:szCs w:val="28"/>
          <w:lang w:val="en-GB"/>
        </w:rPr>
        <w:t xml:space="preserve"> – </w:t>
      </w:r>
      <w:r w:rsidR="00F71650" w:rsidRPr="001030F5">
        <w:rPr>
          <w:rFonts w:ascii="Arial" w:hAnsi="Arial" w:cs="Arial"/>
          <w:bCs/>
          <w:color w:val="1A1617"/>
          <w:sz w:val="28"/>
          <w:szCs w:val="28"/>
          <w:lang w:val="en-GB"/>
        </w:rPr>
        <w:t>index of the individual bank</w:t>
      </w:r>
      <w:r w:rsidR="00F26A50" w:rsidRPr="001030F5">
        <w:rPr>
          <w:rFonts w:ascii="Arial" w:hAnsi="Arial" w:cs="Arial"/>
          <w:bCs/>
          <w:color w:val="1A1617"/>
          <w:sz w:val="28"/>
          <w:szCs w:val="28"/>
          <w:lang w:val="en-GB"/>
        </w:rPr>
        <w:t>;</w:t>
      </w:r>
    </w:p>
    <w:p w14:paraId="1BADB820" w14:textId="1215D30C" w:rsidR="00847049" w:rsidRPr="001030F5" w:rsidRDefault="00847049" w:rsidP="00DF00F1">
      <w:pPr>
        <w:widowControl w:val="0"/>
        <w:spacing w:after="0" w:line="240" w:lineRule="auto"/>
        <w:jc w:val="both"/>
        <w:rPr>
          <w:rFonts w:ascii="Arial" w:hAnsi="Arial" w:cs="Arial"/>
          <w:bCs/>
          <w:color w:val="1A1617"/>
          <w:sz w:val="28"/>
          <w:szCs w:val="28"/>
          <w:lang w:val="en-GB"/>
        </w:rPr>
      </w:pPr>
      <w:r w:rsidRPr="001030F5">
        <w:rPr>
          <w:rFonts w:ascii="Arial" w:hAnsi="Arial" w:cs="Arial"/>
          <w:b/>
          <w:i/>
          <w:iCs/>
          <w:color w:val="1A1617"/>
          <w:sz w:val="28"/>
          <w:szCs w:val="28"/>
          <w:lang w:val="en-GB"/>
        </w:rPr>
        <w:t>i</w:t>
      </w:r>
      <w:r w:rsidR="00477954" w:rsidRPr="001030F5">
        <w:rPr>
          <w:rFonts w:ascii="Arial" w:hAnsi="Arial" w:cs="Arial"/>
          <w:sz w:val="28"/>
          <w:szCs w:val="28"/>
          <w:lang w:val="en-GB"/>
        </w:rPr>
        <w:t xml:space="preserve"> – </w:t>
      </w:r>
      <w:r w:rsidR="00F71650" w:rsidRPr="001030F5">
        <w:rPr>
          <w:rFonts w:ascii="Arial" w:hAnsi="Arial" w:cs="Arial"/>
          <w:bCs/>
          <w:color w:val="1A1617"/>
          <w:sz w:val="28"/>
          <w:szCs w:val="28"/>
          <w:lang w:val="en-GB"/>
        </w:rPr>
        <w:t>index of the risk indicator;</w:t>
      </w:r>
      <w:r w:rsidRPr="001030F5">
        <w:rPr>
          <w:rFonts w:ascii="Arial" w:hAnsi="Arial" w:cs="Arial"/>
          <w:bCs/>
          <w:color w:val="1A1617"/>
          <w:sz w:val="28"/>
          <w:szCs w:val="28"/>
          <w:lang w:val="en-GB"/>
        </w:rPr>
        <w:t xml:space="preserve"> </w:t>
      </w:r>
    </w:p>
    <w:p w14:paraId="727D7020" w14:textId="31E783BA" w:rsidR="003D6C9A" w:rsidRPr="001030F5" w:rsidRDefault="00847049" w:rsidP="00DF00F1">
      <w:pPr>
        <w:widowControl w:val="0"/>
        <w:spacing w:after="0" w:line="240" w:lineRule="auto"/>
        <w:jc w:val="both"/>
        <w:rPr>
          <w:rFonts w:ascii="Arial" w:hAnsi="Arial" w:cs="Arial"/>
          <w:sz w:val="28"/>
          <w:szCs w:val="28"/>
          <w:lang w:val="en-GB"/>
        </w:rPr>
      </w:pPr>
      <w:r w:rsidRPr="001030F5">
        <w:rPr>
          <w:rFonts w:ascii="Arial" w:hAnsi="Arial" w:cs="Arial"/>
          <w:b/>
          <w:i/>
          <w:iCs/>
          <w:color w:val="1A1617"/>
          <w:sz w:val="28"/>
          <w:szCs w:val="28"/>
          <w:lang w:val="en-GB"/>
        </w:rPr>
        <w:t>j</w:t>
      </w:r>
      <w:r w:rsidR="00477954" w:rsidRPr="001030F5">
        <w:rPr>
          <w:rFonts w:ascii="Arial" w:hAnsi="Arial" w:cs="Arial"/>
          <w:sz w:val="28"/>
          <w:szCs w:val="28"/>
          <w:lang w:val="en-GB"/>
        </w:rPr>
        <w:t xml:space="preserve"> – </w:t>
      </w:r>
      <w:r w:rsidR="00F71650" w:rsidRPr="001030F5">
        <w:rPr>
          <w:rFonts w:ascii="Arial" w:hAnsi="Arial" w:cs="Arial"/>
          <w:bCs/>
          <w:color w:val="1A1617"/>
          <w:sz w:val="28"/>
          <w:szCs w:val="28"/>
          <w:lang w:val="en-GB"/>
        </w:rPr>
        <w:t>index of the risk pillar</w:t>
      </w:r>
      <w:r w:rsidR="00F26A50" w:rsidRPr="001030F5">
        <w:rPr>
          <w:rFonts w:ascii="Arial" w:hAnsi="Arial" w:cs="Arial"/>
          <w:bCs/>
          <w:color w:val="1A1617"/>
          <w:sz w:val="28"/>
          <w:szCs w:val="28"/>
          <w:lang w:val="en-GB"/>
        </w:rPr>
        <w:t>;</w:t>
      </w:r>
    </w:p>
    <w:p w14:paraId="514366EC" w14:textId="66F34ACC" w:rsidR="003D6C9A" w:rsidRPr="001030F5" w:rsidRDefault="003D6C9A" w:rsidP="00DF00F1">
      <w:pPr>
        <w:widowControl w:val="0"/>
        <w:spacing w:after="0" w:line="240" w:lineRule="auto"/>
        <w:jc w:val="both"/>
        <w:rPr>
          <w:rFonts w:ascii="Arial" w:hAnsi="Arial" w:cs="Arial"/>
          <w:sz w:val="28"/>
          <w:szCs w:val="28"/>
          <w:lang w:val="en-GB"/>
        </w:rPr>
      </w:pPr>
      <w:r w:rsidRPr="001030F5">
        <w:rPr>
          <w:rFonts w:ascii="Arial" w:hAnsi="Arial" w:cs="Arial"/>
          <w:b/>
          <w:bCs/>
          <w:sz w:val="28"/>
          <w:szCs w:val="28"/>
          <w:lang w:val="en-GB"/>
        </w:rPr>
        <w:t>N</w:t>
      </w:r>
      <w:r w:rsidRPr="001030F5">
        <w:rPr>
          <w:rFonts w:ascii="Arial" w:hAnsi="Arial" w:cs="Arial"/>
          <w:sz w:val="28"/>
          <w:szCs w:val="28"/>
          <w:lang w:val="en-GB"/>
        </w:rPr>
        <w:t xml:space="preserve"> – </w:t>
      </w:r>
      <w:r w:rsidR="00C864C7" w:rsidRPr="001030F5">
        <w:rPr>
          <w:rFonts w:ascii="Arial" w:hAnsi="Arial" w:cs="Arial"/>
          <w:sz w:val="28"/>
          <w:szCs w:val="28"/>
          <w:lang w:val="en-GB"/>
        </w:rPr>
        <w:t>number of banks contributing to the Fund, for which the following indicators are calculated</w:t>
      </w:r>
      <w:r w:rsidRPr="001030F5">
        <w:rPr>
          <w:rFonts w:ascii="Arial" w:hAnsi="Arial" w:cs="Arial"/>
          <w:sz w:val="28"/>
          <w:szCs w:val="28"/>
          <w:lang w:val="en-GB"/>
        </w:rPr>
        <w:t>:</w:t>
      </w:r>
    </w:p>
    <w:p w14:paraId="21D049C6" w14:textId="653211A0" w:rsidR="00E640D3" w:rsidRPr="001030F5" w:rsidRDefault="00C809AA" w:rsidP="00DF00F1">
      <w:pPr>
        <w:widowControl w:val="0"/>
        <w:spacing w:after="0" w:line="240" w:lineRule="auto"/>
        <w:jc w:val="center"/>
        <w:rPr>
          <w:rFonts w:ascii="Arial" w:hAnsi="Arial" w:cs="Arial"/>
          <w:sz w:val="28"/>
          <w:szCs w:val="28"/>
          <w:lang w:val="en-GB"/>
        </w:rPr>
      </w:pPr>
      <w:r w:rsidRPr="001030F5">
        <w:rPr>
          <w:rFonts w:ascii="Arial" w:hAnsi="Arial" w:cs="Arial"/>
          <w:noProof/>
          <w:sz w:val="28"/>
          <w:szCs w:val="28"/>
          <w:lang w:val="en-GB"/>
        </w:rPr>
        <w:drawing>
          <wp:inline distT="0" distB="0" distL="0" distR="0" wp14:anchorId="13E11F9F" wp14:editId="6D68B69A">
            <wp:extent cx="5760720" cy="749935"/>
            <wp:effectExtent l="0" t="0" r="0" b="0"/>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60720" cy="749935"/>
                    </a:xfrm>
                    <a:prstGeom prst="rect">
                      <a:avLst/>
                    </a:prstGeom>
                    <a:noFill/>
                    <a:ln>
                      <a:noFill/>
                    </a:ln>
                  </pic:spPr>
                </pic:pic>
              </a:graphicData>
            </a:graphic>
          </wp:inline>
        </w:drawing>
      </w:r>
    </w:p>
    <w:p w14:paraId="4EAAE2D5" w14:textId="4C822E6B" w:rsidR="00E640D3" w:rsidRPr="001030F5" w:rsidRDefault="00C809AA" w:rsidP="00DF00F1">
      <w:pPr>
        <w:widowControl w:val="0"/>
        <w:spacing w:after="0" w:line="240" w:lineRule="auto"/>
        <w:jc w:val="center"/>
        <w:rPr>
          <w:rFonts w:ascii="Arial" w:hAnsi="Arial" w:cs="Arial"/>
          <w:sz w:val="28"/>
          <w:szCs w:val="28"/>
          <w:lang w:val="en-GB"/>
        </w:rPr>
      </w:pPr>
      <w:r w:rsidRPr="001030F5">
        <w:rPr>
          <w:rFonts w:ascii="Arial" w:hAnsi="Arial" w:cs="Arial"/>
          <w:noProof/>
          <w:sz w:val="28"/>
          <w:szCs w:val="28"/>
          <w:lang w:val="en-GB"/>
        </w:rPr>
        <w:drawing>
          <wp:inline distT="0" distB="0" distL="0" distR="0" wp14:anchorId="3E86D434" wp14:editId="6B6994E6">
            <wp:extent cx="5760720" cy="494030"/>
            <wp:effectExtent l="0" t="0" r="0" b="0"/>
            <wp:docPr id="3"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60720" cy="494030"/>
                    </a:xfrm>
                    <a:prstGeom prst="rect">
                      <a:avLst/>
                    </a:prstGeom>
                    <a:noFill/>
                    <a:ln>
                      <a:noFill/>
                    </a:ln>
                  </pic:spPr>
                </pic:pic>
              </a:graphicData>
            </a:graphic>
          </wp:inline>
        </w:drawing>
      </w:r>
      <w:r w:rsidRPr="001030F5">
        <w:rPr>
          <w:rFonts w:ascii="Arial" w:hAnsi="Arial" w:cs="Arial"/>
          <w:noProof/>
          <w:sz w:val="28"/>
          <w:szCs w:val="28"/>
          <w:lang w:val="en-GB"/>
        </w:rPr>
        <w:drawing>
          <wp:inline distT="0" distB="0" distL="0" distR="0" wp14:anchorId="5587A6A1" wp14:editId="0EC0E045">
            <wp:extent cx="5760720" cy="646430"/>
            <wp:effectExtent l="0" t="0" r="0" b="0"/>
            <wp:docPr id="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60720" cy="646430"/>
                    </a:xfrm>
                    <a:prstGeom prst="rect">
                      <a:avLst/>
                    </a:prstGeom>
                    <a:noFill/>
                    <a:ln>
                      <a:noFill/>
                    </a:ln>
                  </pic:spPr>
                </pic:pic>
              </a:graphicData>
            </a:graphic>
          </wp:inline>
        </w:drawing>
      </w:r>
    </w:p>
    <w:p w14:paraId="0CCCDE2C" w14:textId="77777777" w:rsidR="00F26A50" w:rsidRPr="001030F5" w:rsidRDefault="00F26A50" w:rsidP="00DF00F1">
      <w:pPr>
        <w:widowControl w:val="0"/>
        <w:spacing w:after="0" w:line="240" w:lineRule="auto"/>
        <w:jc w:val="center"/>
        <w:rPr>
          <w:rFonts w:ascii="Arial" w:hAnsi="Arial" w:cs="Arial"/>
          <w:sz w:val="28"/>
          <w:szCs w:val="28"/>
          <w:lang w:val="en-GB"/>
        </w:rPr>
      </w:pPr>
    </w:p>
    <w:p w14:paraId="479AA9FC" w14:textId="77777777" w:rsidR="00C864C7" w:rsidRPr="001030F5" w:rsidRDefault="00D028F7" w:rsidP="00DF00F1">
      <w:pPr>
        <w:widowControl w:val="0"/>
        <w:spacing w:after="0" w:line="240" w:lineRule="auto"/>
        <w:jc w:val="both"/>
        <w:rPr>
          <w:rFonts w:ascii="Arial" w:hAnsi="Arial" w:cs="Arial"/>
          <w:bCs/>
          <w:color w:val="1A1617"/>
          <w:sz w:val="28"/>
          <w:szCs w:val="28"/>
          <w:lang w:val="en-GB"/>
        </w:rPr>
      </w:pPr>
      <w:r w:rsidRPr="001030F5">
        <w:rPr>
          <w:rFonts w:ascii="Arial" w:hAnsi="Arial" w:cs="Arial"/>
          <w:bCs/>
          <w:color w:val="1A1617"/>
          <w:sz w:val="28"/>
          <w:szCs w:val="28"/>
          <w:lang w:val="en-GB"/>
        </w:rPr>
        <w:tab/>
        <w:t>3.</w:t>
      </w:r>
      <w:r w:rsidR="00F47AC3" w:rsidRPr="001030F5">
        <w:rPr>
          <w:rFonts w:ascii="Arial" w:hAnsi="Arial" w:cs="Arial"/>
          <w:bCs/>
          <w:color w:val="1A1617"/>
          <w:sz w:val="28"/>
          <w:szCs w:val="28"/>
          <w:lang w:val="en-GB"/>
        </w:rPr>
        <w:tab/>
      </w:r>
      <w:r w:rsidR="00C864C7" w:rsidRPr="001030F5">
        <w:rPr>
          <w:rFonts w:ascii="Arial" w:hAnsi="Arial" w:cs="Arial"/>
          <w:bCs/>
          <w:color w:val="1A1617"/>
          <w:sz w:val="28"/>
          <w:szCs w:val="28"/>
          <w:lang w:val="en-GB"/>
        </w:rPr>
        <w:t>For each of the main indicators, the same number of banks is assigned to each bin, starting by assigning banks with the lowest values of the given indicator to the first bin.</w:t>
      </w:r>
      <w:r w:rsidR="00E640D3" w:rsidRPr="001030F5">
        <w:rPr>
          <w:rFonts w:ascii="Arial" w:hAnsi="Arial" w:cs="Arial"/>
          <w:bCs/>
          <w:color w:val="1A1617"/>
          <w:sz w:val="28"/>
          <w:szCs w:val="28"/>
          <w:lang w:val="en-GB"/>
        </w:rPr>
        <w:t xml:space="preserve"> </w:t>
      </w:r>
      <w:r w:rsidR="00C864C7" w:rsidRPr="001030F5">
        <w:rPr>
          <w:rFonts w:ascii="Arial" w:hAnsi="Arial" w:cs="Arial"/>
          <w:bCs/>
          <w:color w:val="1A1617"/>
          <w:sz w:val="28"/>
          <w:szCs w:val="28"/>
          <w:lang w:val="en-GB"/>
        </w:rPr>
        <w:t xml:space="preserve">In case the number of banks cannot be exactly divided by the number of bins (the result is not a whole number), each of the first </w:t>
      </w:r>
      <w:r w:rsidR="00E640D3" w:rsidRPr="001030F5">
        <w:rPr>
          <w:rFonts w:ascii="Arial" w:hAnsi="Arial" w:cs="Arial"/>
          <w:b/>
          <w:i/>
          <w:iCs/>
          <w:color w:val="1A1617"/>
          <w:sz w:val="28"/>
          <w:szCs w:val="28"/>
          <w:lang w:val="en-GB"/>
        </w:rPr>
        <w:t>r</w:t>
      </w:r>
      <w:r w:rsidR="00E640D3" w:rsidRPr="001030F5">
        <w:rPr>
          <w:rFonts w:ascii="Arial" w:hAnsi="Arial" w:cs="Arial"/>
          <w:bCs/>
          <w:color w:val="1A1617"/>
          <w:sz w:val="28"/>
          <w:szCs w:val="28"/>
          <w:lang w:val="en-GB"/>
        </w:rPr>
        <w:t xml:space="preserve"> </w:t>
      </w:r>
      <w:r w:rsidR="00C864C7" w:rsidRPr="001030F5">
        <w:rPr>
          <w:rFonts w:ascii="Arial" w:hAnsi="Arial" w:cs="Arial"/>
          <w:bCs/>
          <w:color w:val="1A1617"/>
          <w:sz w:val="28"/>
          <w:szCs w:val="28"/>
          <w:lang w:val="en-GB"/>
        </w:rPr>
        <w:t>bins, starting from the bin containing the banks with the lowest values of the main indicator, where</w:t>
      </w:r>
      <w:r w:rsidR="00E640D3" w:rsidRPr="001030F5">
        <w:rPr>
          <w:rFonts w:ascii="Arial" w:hAnsi="Arial" w:cs="Arial"/>
          <w:bCs/>
          <w:color w:val="1A1617"/>
          <w:sz w:val="28"/>
          <w:szCs w:val="28"/>
          <w:lang w:val="en-GB"/>
        </w:rPr>
        <w:t xml:space="preserve"> </w:t>
      </w:r>
      <w:r w:rsidR="00E640D3" w:rsidRPr="001030F5">
        <w:rPr>
          <w:rFonts w:ascii="Arial" w:hAnsi="Arial" w:cs="Arial"/>
          <w:b/>
          <w:i/>
          <w:iCs/>
          <w:color w:val="1A1617"/>
          <w:sz w:val="28"/>
          <w:szCs w:val="28"/>
          <w:lang w:val="en-GB"/>
        </w:rPr>
        <w:t>r</w:t>
      </w:r>
      <w:r w:rsidR="00E640D3" w:rsidRPr="001030F5">
        <w:rPr>
          <w:rFonts w:ascii="Arial" w:hAnsi="Arial" w:cs="Arial"/>
          <w:bCs/>
          <w:color w:val="1A1617"/>
          <w:sz w:val="28"/>
          <w:szCs w:val="28"/>
          <w:lang w:val="en-GB"/>
        </w:rPr>
        <w:t xml:space="preserve"> </w:t>
      </w:r>
      <w:r w:rsidR="00C864C7" w:rsidRPr="001030F5">
        <w:rPr>
          <w:rFonts w:ascii="Arial" w:hAnsi="Arial" w:cs="Arial"/>
          <w:bCs/>
          <w:color w:val="1A1617"/>
          <w:sz w:val="28"/>
          <w:szCs w:val="28"/>
          <w:lang w:val="en-GB"/>
        </w:rPr>
        <w:t>is the remainder of the division of the number of banks</w:t>
      </w:r>
      <w:r w:rsidR="00E640D3" w:rsidRPr="001030F5">
        <w:rPr>
          <w:rFonts w:ascii="Arial" w:hAnsi="Arial" w:cs="Arial"/>
          <w:bCs/>
          <w:color w:val="1A1617"/>
          <w:sz w:val="28"/>
          <w:szCs w:val="28"/>
          <w:lang w:val="en-GB"/>
        </w:rPr>
        <w:t xml:space="preserve"> </w:t>
      </w:r>
      <w:r w:rsidR="00BD366C" w:rsidRPr="001030F5">
        <w:rPr>
          <w:rFonts w:ascii="Arial" w:hAnsi="Arial" w:cs="Arial"/>
          <w:bCs/>
          <w:color w:val="1A1617"/>
          <w:sz w:val="28"/>
          <w:szCs w:val="28"/>
          <w:lang w:val="en-GB"/>
        </w:rPr>
        <w:t>(</w:t>
      </w:r>
      <w:r w:rsidR="00E640D3" w:rsidRPr="001030F5">
        <w:rPr>
          <w:rFonts w:ascii="Arial" w:hAnsi="Arial" w:cs="Arial"/>
          <w:b/>
          <w:i/>
          <w:iCs/>
          <w:color w:val="1A1617"/>
          <w:sz w:val="28"/>
          <w:szCs w:val="28"/>
          <w:lang w:val="en-GB"/>
        </w:rPr>
        <w:t>N</w:t>
      </w:r>
      <w:r w:rsidR="00BD366C" w:rsidRPr="001030F5">
        <w:rPr>
          <w:rFonts w:ascii="Arial" w:hAnsi="Arial" w:cs="Arial"/>
          <w:bCs/>
          <w:color w:val="1A1617"/>
          <w:sz w:val="28"/>
          <w:szCs w:val="28"/>
          <w:lang w:val="en-GB"/>
        </w:rPr>
        <w:t>)</w:t>
      </w:r>
      <w:r w:rsidR="00E640D3" w:rsidRPr="001030F5">
        <w:rPr>
          <w:rFonts w:ascii="Arial" w:hAnsi="Arial" w:cs="Arial"/>
          <w:bCs/>
          <w:color w:val="1A1617"/>
          <w:sz w:val="28"/>
          <w:szCs w:val="28"/>
          <w:lang w:val="en-GB"/>
        </w:rPr>
        <w:t xml:space="preserve"> </w:t>
      </w:r>
      <w:r w:rsidR="00C864C7" w:rsidRPr="001030F5">
        <w:rPr>
          <w:rFonts w:ascii="Arial" w:hAnsi="Arial" w:cs="Arial"/>
          <w:bCs/>
          <w:color w:val="1A1617"/>
          <w:sz w:val="28"/>
          <w:szCs w:val="28"/>
          <w:lang w:val="en-GB"/>
        </w:rPr>
        <w:t>by the number of bins</w:t>
      </w:r>
      <w:r w:rsidR="00E640D3" w:rsidRPr="001030F5">
        <w:rPr>
          <w:rFonts w:ascii="Arial" w:hAnsi="Arial" w:cs="Arial"/>
          <w:bCs/>
          <w:color w:val="1A1617"/>
          <w:sz w:val="28"/>
          <w:szCs w:val="28"/>
          <w:lang w:val="en-GB"/>
        </w:rPr>
        <w:t xml:space="preserve"> </w:t>
      </w:r>
      <w:r w:rsidR="00BD366C" w:rsidRPr="001030F5">
        <w:rPr>
          <w:rFonts w:ascii="Arial" w:hAnsi="Arial" w:cs="Arial"/>
          <w:bCs/>
          <w:color w:val="1A1617"/>
          <w:sz w:val="28"/>
          <w:szCs w:val="28"/>
          <w:lang w:val="en-GB"/>
        </w:rPr>
        <w:t>(</w:t>
      </w:r>
      <w:r w:rsidR="00E640D3" w:rsidRPr="001030F5">
        <w:rPr>
          <w:rFonts w:ascii="Arial" w:hAnsi="Arial" w:cs="Arial"/>
          <w:b/>
          <w:color w:val="1A1617"/>
          <w:sz w:val="28"/>
          <w:szCs w:val="28"/>
          <w:lang w:val="en-GB"/>
        </w:rPr>
        <w:t>k</w:t>
      </w:r>
      <w:r w:rsidR="0048659D" w:rsidRPr="001030F5">
        <w:rPr>
          <w:rFonts w:ascii="Arial" w:hAnsi="Arial" w:cs="Arial"/>
          <w:bCs/>
          <w:color w:val="1A1617"/>
          <w:sz w:val="28"/>
          <w:szCs w:val="28"/>
          <w:vertAlign w:val="subscript"/>
          <w:lang w:val="en-GB"/>
        </w:rPr>
        <w:t>ij</w:t>
      </w:r>
      <w:r w:rsidR="00BD366C" w:rsidRPr="001030F5">
        <w:rPr>
          <w:rFonts w:ascii="Arial" w:hAnsi="Arial" w:cs="Arial"/>
          <w:bCs/>
          <w:color w:val="1A1617"/>
          <w:sz w:val="28"/>
          <w:szCs w:val="28"/>
          <w:lang w:val="en-GB"/>
        </w:rPr>
        <w:t>)</w:t>
      </w:r>
      <w:r w:rsidR="00E640D3" w:rsidRPr="001030F5">
        <w:rPr>
          <w:rFonts w:ascii="Arial" w:hAnsi="Arial" w:cs="Arial"/>
          <w:bCs/>
          <w:color w:val="1A1617"/>
          <w:sz w:val="28"/>
          <w:szCs w:val="28"/>
          <w:lang w:val="en-GB"/>
        </w:rPr>
        <w:t xml:space="preserve">, </w:t>
      </w:r>
      <w:r w:rsidR="00C864C7" w:rsidRPr="001030F5">
        <w:rPr>
          <w:rFonts w:ascii="Arial" w:hAnsi="Arial" w:cs="Arial"/>
          <w:bCs/>
          <w:color w:val="1A1617"/>
          <w:sz w:val="28"/>
          <w:szCs w:val="28"/>
          <w:lang w:val="en-GB"/>
        </w:rPr>
        <w:t>is assigned one additional bank.</w:t>
      </w:r>
    </w:p>
    <w:p w14:paraId="118CF4DC" w14:textId="77777777" w:rsidR="004A35C2" w:rsidRPr="001030F5" w:rsidRDefault="004A35C2" w:rsidP="00DF00F1">
      <w:pPr>
        <w:widowControl w:val="0"/>
        <w:spacing w:after="0" w:line="240" w:lineRule="auto"/>
        <w:jc w:val="both"/>
        <w:rPr>
          <w:rFonts w:ascii="Arial" w:hAnsi="Arial" w:cs="Arial"/>
          <w:bCs/>
          <w:color w:val="1A1617"/>
          <w:sz w:val="16"/>
          <w:szCs w:val="16"/>
          <w:lang w:val="en-GB"/>
        </w:rPr>
      </w:pPr>
    </w:p>
    <w:p w14:paraId="679A4C40" w14:textId="5402654F" w:rsidR="00E640D3" w:rsidRPr="001030F5" w:rsidRDefault="0048091D" w:rsidP="00DF00F1">
      <w:pPr>
        <w:widowControl w:val="0"/>
        <w:spacing w:after="0" w:line="240" w:lineRule="auto"/>
        <w:jc w:val="both"/>
        <w:rPr>
          <w:rFonts w:ascii="Arial" w:hAnsi="Arial" w:cs="Arial"/>
          <w:bCs/>
          <w:color w:val="1A1617"/>
          <w:sz w:val="28"/>
          <w:szCs w:val="28"/>
          <w:lang w:val="en-GB"/>
        </w:rPr>
      </w:pPr>
      <w:r w:rsidRPr="001030F5">
        <w:rPr>
          <w:rFonts w:ascii="Arial" w:hAnsi="Arial" w:cs="Arial"/>
          <w:bCs/>
          <w:color w:val="1A1617"/>
          <w:sz w:val="28"/>
          <w:szCs w:val="28"/>
          <w:lang w:val="en-GB"/>
        </w:rPr>
        <w:tab/>
      </w:r>
      <w:r w:rsidR="00D028F7" w:rsidRPr="001030F5">
        <w:rPr>
          <w:rFonts w:ascii="Arial" w:hAnsi="Arial" w:cs="Arial"/>
          <w:bCs/>
          <w:color w:val="1A1617"/>
          <w:sz w:val="28"/>
          <w:szCs w:val="28"/>
          <w:lang w:val="en-GB"/>
        </w:rPr>
        <w:t>4</w:t>
      </w:r>
      <w:r w:rsidRPr="001030F5">
        <w:rPr>
          <w:rFonts w:ascii="Arial" w:hAnsi="Arial" w:cs="Arial"/>
          <w:bCs/>
          <w:color w:val="1A1617"/>
          <w:sz w:val="28"/>
          <w:szCs w:val="28"/>
          <w:lang w:val="en-GB"/>
        </w:rPr>
        <w:t>.</w:t>
      </w:r>
      <w:r w:rsidRPr="001030F5">
        <w:rPr>
          <w:rFonts w:ascii="Arial" w:hAnsi="Arial" w:cs="Arial"/>
          <w:bCs/>
          <w:color w:val="1A1617"/>
          <w:sz w:val="28"/>
          <w:szCs w:val="28"/>
          <w:lang w:val="en-GB"/>
        </w:rPr>
        <w:tab/>
      </w:r>
      <w:r w:rsidR="00C864C7" w:rsidRPr="001030F5">
        <w:rPr>
          <w:rFonts w:ascii="Arial" w:hAnsi="Arial" w:cs="Arial"/>
          <w:bCs/>
          <w:color w:val="1A1617"/>
          <w:sz w:val="28"/>
          <w:szCs w:val="28"/>
          <w:lang w:val="en-GB"/>
        </w:rPr>
        <w:t>For each indicator, each bank contained in a given bin shall be assigned the value of the order of the bin, counting from the left to the right (from the lowest to the highest ordinal number), so that the value of the discretized indicator is defined as</w:t>
      </w:r>
      <w:r w:rsidR="00E640D3" w:rsidRPr="001030F5">
        <w:rPr>
          <w:rFonts w:ascii="Arial" w:hAnsi="Arial" w:cs="Arial"/>
          <w:bCs/>
          <w:color w:val="1A1617"/>
          <w:sz w:val="28"/>
          <w:szCs w:val="28"/>
          <w:lang w:val="en-GB"/>
        </w:rPr>
        <w:t xml:space="preserve"> </w:t>
      </w:r>
      <w:r w:rsidR="00443D3A" w:rsidRPr="001030F5">
        <w:rPr>
          <w:rFonts w:ascii="Arial" w:hAnsi="Arial" w:cs="Arial"/>
          <w:b/>
          <w:color w:val="1A1617"/>
          <w:sz w:val="28"/>
          <w:szCs w:val="28"/>
          <w:lang w:val="en-GB"/>
        </w:rPr>
        <w:t>I</w:t>
      </w:r>
      <w:r w:rsidR="0048659D" w:rsidRPr="001030F5">
        <w:rPr>
          <w:rFonts w:ascii="Arial" w:hAnsi="Arial" w:cs="Arial"/>
          <w:b/>
          <w:color w:val="1A1617"/>
          <w:sz w:val="28"/>
          <w:szCs w:val="28"/>
          <w:vertAlign w:val="subscript"/>
          <w:lang w:val="en-GB"/>
        </w:rPr>
        <w:t>ij,n</w:t>
      </w:r>
      <w:r w:rsidR="0048659D" w:rsidRPr="001030F5">
        <w:rPr>
          <w:rFonts w:ascii="Arial" w:hAnsi="Arial" w:cs="Arial"/>
          <w:b/>
          <w:color w:val="1A1617"/>
          <w:sz w:val="28"/>
          <w:szCs w:val="28"/>
          <w:lang w:val="en-GB"/>
        </w:rPr>
        <w:t xml:space="preserve"> </w:t>
      </w:r>
      <w:r w:rsidR="00443D3A" w:rsidRPr="001030F5">
        <w:rPr>
          <w:rFonts w:ascii="Arial" w:hAnsi="Arial" w:cs="Arial"/>
          <w:b/>
          <w:color w:val="1A1617"/>
          <w:sz w:val="28"/>
          <w:szCs w:val="28"/>
          <w:lang w:val="en-GB"/>
        </w:rPr>
        <w:t>= 1,…,k</w:t>
      </w:r>
      <w:r w:rsidR="0048659D" w:rsidRPr="001030F5">
        <w:rPr>
          <w:rFonts w:ascii="Arial" w:hAnsi="Arial" w:cs="Arial"/>
          <w:b/>
          <w:color w:val="1A1617"/>
          <w:sz w:val="28"/>
          <w:szCs w:val="28"/>
          <w:vertAlign w:val="subscript"/>
          <w:lang w:val="en-GB"/>
        </w:rPr>
        <w:t>ij</w:t>
      </w:r>
      <w:r w:rsidR="00443D3A" w:rsidRPr="001030F5">
        <w:rPr>
          <w:rFonts w:ascii="Arial" w:hAnsi="Arial" w:cs="Arial"/>
          <w:bCs/>
          <w:color w:val="1A1617"/>
          <w:sz w:val="28"/>
          <w:szCs w:val="28"/>
          <w:lang w:val="en-GB"/>
        </w:rPr>
        <w:t>.</w:t>
      </w:r>
    </w:p>
    <w:p w14:paraId="256C1329" w14:textId="77777777" w:rsidR="00125E08" w:rsidRPr="001030F5" w:rsidRDefault="00125E08" w:rsidP="00DF00F1">
      <w:pPr>
        <w:widowControl w:val="0"/>
        <w:spacing w:after="0" w:line="240" w:lineRule="auto"/>
        <w:jc w:val="both"/>
        <w:rPr>
          <w:rFonts w:ascii="Arial" w:hAnsi="Arial" w:cs="Arial"/>
          <w:bCs/>
          <w:color w:val="1A1617"/>
          <w:sz w:val="28"/>
          <w:szCs w:val="28"/>
          <w:lang w:val="en-GB"/>
        </w:rPr>
      </w:pPr>
    </w:p>
    <w:p w14:paraId="12CF6358" w14:textId="2AA5F866" w:rsidR="00C864C7" w:rsidRPr="001030F5" w:rsidRDefault="0048091D" w:rsidP="00DF00F1">
      <w:pPr>
        <w:widowControl w:val="0"/>
        <w:spacing w:after="0" w:line="240" w:lineRule="auto"/>
        <w:jc w:val="both"/>
        <w:rPr>
          <w:rFonts w:ascii="Arial" w:hAnsi="Arial" w:cs="Arial"/>
          <w:bCs/>
          <w:color w:val="1A1617"/>
          <w:sz w:val="28"/>
          <w:szCs w:val="28"/>
          <w:lang w:val="en-GB"/>
        </w:rPr>
      </w:pPr>
      <w:r w:rsidRPr="001030F5">
        <w:rPr>
          <w:rFonts w:ascii="Arial" w:hAnsi="Arial" w:cs="Arial"/>
          <w:bCs/>
          <w:color w:val="1A1617"/>
          <w:sz w:val="28"/>
          <w:szCs w:val="28"/>
          <w:lang w:val="en-GB"/>
        </w:rPr>
        <w:tab/>
      </w:r>
      <w:r w:rsidR="00D028F7" w:rsidRPr="001030F5">
        <w:rPr>
          <w:rFonts w:ascii="Arial" w:hAnsi="Arial" w:cs="Arial"/>
          <w:bCs/>
          <w:color w:val="1A1617"/>
          <w:sz w:val="28"/>
          <w:szCs w:val="28"/>
          <w:lang w:val="en-GB"/>
        </w:rPr>
        <w:t>5</w:t>
      </w:r>
      <w:r w:rsidRPr="001030F5">
        <w:rPr>
          <w:rFonts w:ascii="Arial" w:hAnsi="Arial" w:cs="Arial"/>
          <w:bCs/>
          <w:color w:val="1A1617"/>
          <w:sz w:val="28"/>
          <w:szCs w:val="28"/>
          <w:lang w:val="en-GB"/>
        </w:rPr>
        <w:t>.</w:t>
      </w:r>
      <w:r w:rsidRPr="001030F5">
        <w:rPr>
          <w:rFonts w:ascii="Arial" w:hAnsi="Arial" w:cs="Arial"/>
          <w:bCs/>
          <w:color w:val="1A1617"/>
          <w:sz w:val="28"/>
          <w:szCs w:val="28"/>
          <w:lang w:val="en-GB"/>
        </w:rPr>
        <w:tab/>
      </w:r>
      <w:r w:rsidR="00C864C7" w:rsidRPr="001030F5">
        <w:rPr>
          <w:rFonts w:ascii="Arial" w:hAnsi="Arial" w:cs="Arial"/>
          <w:bCs/>
          <w:color w:val="1A1617"/>
          <w:sz w:val="28"/>
          <w:szCs w:val="28"/>
          <w:lang w:val="en-GB"/>
        </w:rPr>
        <w:t>The discretization procedure set out in Sections 2 to 4 of this Annex shall also apply to the additional risk indicators determined by the National Bank of Serbia, only if it establishes that these indicators are continuous variables.</w:t>
      </w:r>
    </w:p>
    <w:p w14:paraId="649DD579" w14:textId="77777777" w:rsidR="00F47AC3" w:rsidRPr="001030F5" w:rsidRDefault="00F47AC3" w:rsidP="00DF00F1">
      <w:pPr>
        <w:widowControl w:val="0"/>
        <w:spacing w:after="0" w:line="240" w:lineRule="auto"/>
        <w:jc w:val="both"/>
        <w:rPr>
          <w:lang w:val="en-GB"/>
        </w:rPr>
      </w:pPr>
    </w:p>
    <w:p w14:paraId="111DD484" w14:textId="65524D12" w:rsidR="00C864C7" w:rsidRPr="001030F5" w:rsidRDefault="00F47AC3" w:rsidP="00DF00F1">
      <w:pPr>
        <w:widowControl w:val="0"/>
        <w:spacing w:after="0" w:line="240" w:lineRule="auto"/>
        <w:jc w:val="both"/>
        <w:rPr>
          <w:rFonts w:ascii="Arial" w:hAnsi="Arial" w:cs="Arial"/>
          <w:bCs/>
          <w:color w:val="1A1617"/>
          <w:sz w:val="28"/>
          <w:szCs w:val="28"/>
          <w:lang w:val="en-GB"/>
        </w:rPr>
      </w:pPr>
      <w:r w:rsidRPr="001030F5">
        <w:rPr>
          <w:rFonts w:ascii="Arial" w:hAnsi="Arial" w:cs="Arial"/>
          <w:bCs/>
          <w:color w:val="1A1617"/>
          <w:sz w:val="28"/>
          <w:szCs w:val="28"/>
          <w:lang w:val="en-GB"/>
        </w:rPr>
        <w:tab/>
      </w:r>
      <w:r w:rsidRPr="001030F5">
        <w:rPr>
          <w:rFonts w:ascii="Arial" w:hAnsi="Arial" w:cs="Arial"/>
          <w:bCs/>
          <w:color w:val="1A1617"/>
          <w:sz w:val="28"/>
          <w:szCs w:val="28"/>
          <w:lang w:val="en-GB"/>
        </w:rPr>
        <w:tab/>
      </w:r>
      <w:r w:rsidR="00C864C7" w:rsidRPr="001030F5">
        <w:rPr>
          <w:rFonts w:ascii="Arial" w:hAnsi="Arial" w:cs="Arial"/>
          <w:bCs/>
          <w:color w:val="1A1617"/>
          <w:sz w:val="28"/>
          <w:szCs w:val="28"/>
          <w:lang w:val="en-GB"/>
        </w:rPr>
        <w:t xml:space="preserve">The ’Extent of </w:t>
      </w:r>
      <w:r w:rsidR="001030F5" w:rsidRPr="001030F5">
        <w:rPr>
          <w:rFonts w:ascii="Arial" w:hAnsi="Arial" w:cs="Arial"/>
          <w:bCs/>
          <w:color w:val="1A1617"/>
          <w:sz w:val="28"/>
          <w:szCs w:val="28"/>
          <w:lang w:val="en-GB"/>
        </w:rPr>
        <w:t>previous</w:t>
      </w:r>
      <w:r w:rsidR="00C864C7" w:rsidRPr="001030F5">
        <w:rPr>
          <w:rFonts w:ascii="Arial" w:hAnsi="Arial" w:cs="Arial"/>
          <w:bCs/>
          <w:color w:val="1A1617"/>
          <w:sz w:val="28"/>
          <w:szCs w:val="28"/>
          <w:lang w:val="en-GB"/>
        </w:rPr>
        <w:t xml:space="preserve"> extraordinary financial support’ indicator shall not be considered a continuous variable.</w:t>
      </w:r>
    </w:p>
    <w:p w14:paraId="00FE22B9" w14:textId="77777777" w:rsidR="00443D3A" w:rsidRPr="001030F5" w:rsidRDefault="00443D3A" w:rsidP="00DF00F1">
      <w:pPr>
        <w:widowControl w:val="0"/>
        <w:spacing w:after="0" w:line="240" w:lineRule="auto"/>
        <w:jc w:val="both"/>
        <w:rPr>
          <w:rFonts w:ascii="Arial" w:hAnsi="Arial" w:cs="Arial"/>
          <w:bCs/>
          <w:color w:val="1A1617"/>
          <w:sz w:val="28"/>
          <w:szCs w:val="28"/>
          <w:lang w:val="en-GB"/>
        </w:rPr>
      </w:pPr>
    </w:p>
    <w:p w14:paraId="3086CC01" w14:textId="2C03CD18" w:rsidR="00443D3A" w:rsidRPr="001030F5" w:rsidRDefault="00C864C7" w:rsidP="00DF00F1">
      <w:pPr>
        <w:widowControl w:val="0"/>
        <w:numPr>
          <w:ilvl w:val="0"/>
          <w:numId w:val="3"/>
        </w:numPr>
        <w:spacing w:after="0" w:line="240" w:lineRule="auto"/>
        <w:ind w:left="0" w:firstLine="0"/>
        <w:jc w:val="center"/>
        <w:rPr>
          <w:rFonts w:ascii="Arial" w:hAnsi="Arial" w:cs="Arial"/>
          <w:b/>
          <w:color w:val="1A1617"/>
          <w:sz w:val="28"/>
          <w:szCs w:val="28"/>
          <w:lang w:val="en-GB"/>
        </w:rPr>
      </w:pPr>
      <w:r w:rsidRPr="001030F5">
        <w:rPr>
          <w:rFonts w:ascii="Arial" w:hAnsi="Arial" w:cs="Arial"/>
          <w:b/>
          <w:color w:val="1A1617"/>
          <w:sz w:val="28"/>
          <w:szCs w:val="28"/>
          <w:lang w:val="en-GB"/>
        </w:rPr>
        <w:t>Rescaling of the indicators</w:t>
      </w:r>
      <w:r w:rsidR="00443D3A" w:rsidRPr="001030F5">
        <w:rPr>
          <w:rFonts w:ascii="Arial" w:hAnsi="Arial" w:cs="Arial"/>
          <w:b/>
          <w:color w:val="1A1617"/>
          <w:sz w:val="28"/>
          <w:szCs w:val="28"/>
          <w:lang w:val="en-GB"/>
        </w:rPr>
        <w:t xml:space="preserve"> </w:t>
      </w:r>
    </w:p>
    <w:p w14:paraId="3E4D1011" w14:textId="77777777" w:rsidR="00C12514" w:rsidRPr="001030F5" w:rsidRDefault="00C12514" w:rsidP="00DF00F1">
      <w:pPr>
        <w:widowControl w:val="0"/>
        <w:spacing w:after="0" w:line="240" w:lineRule="auto"/>
        <w:jc w:val="center"/>
        <w:rPr>
          <w:rFonts w:ascii="Arial" w:hAnsi="Arial" w:cs="Arial"/>
          <w:b/>
          <w:color w:val="1A1617"/>
          <w:sz w:val="28"/>
          <w:szCs w:val="28"/>
          <w:lang w:val="en-GB"/>
        </w:rPr>
      </w:pPr>
    </w:p>
    <w:p w14:paraId="2D6E2904" w14:textId="1E5B0D7B" w:rsidR="00C12514" w:rsidRPr="001030F5" w:rsidRDefault="0048091D" w:rsidP="00DF00F1">
      <w:pPr>
        <w:widowControl w:val="0"/>
        <w:spacing w:after="0" w:line="240" w:lineRule="auto"/>
        <w:jc w:val="both"/>
        <w:rPr>
          <w:rFonts w:ascii="Arial" w:hAnsi="Arial" w:cs="Arial"/>
          <w:bCs/>
          <w:color w:val="1A1617"/>
          <w:sz w:val="28"/>
          <w:szCs w:val="28"/>
          <w:lang w:val="en-GB"/>
        </w:rPr>
      </w:pPr>
      <w:r w:rsidRPr="001030F5">
        <w:rPr>
          <w:rFonts w:ascii="Arial" w:hAnsi="Arial" w:cs="Arial"/>
          <w:bCs/>
          <w:color w:val="1A1617"/>
          <w:sz w:val="28"/>
          <w:szCs w:val="28"/>
          <w:lang w:val="en-GB"/>
        </w:rPr>
        <w:tab/>
      </w:r>
      <w:r w:rsidR="00D028F7" w:rsidRPr="001030F5">
        <w:rPr>
          <w:rFonts w:ascii="Arial" w:hAnsi="Arial" w:cs="Arial"/>
          <w:bCs/>
          <w:color w:val="1A1617"/>
          <w:sz w:val="28"/>
          <w:szCs w:val="28"/>
          <w:lang w:val="en-GB"/>
        </w:rPr>
        <w:t>6</w:t>
      </w:r>
      <w:r w:rsidRPr="001030F5">
        <w:rPr>
          <w:rFonts w:ascii="Arial" w:hAnsi="Arial" w:cs="Arial"/>
          <w:bCs/>
          <w:color w:val="1A1617"/>
          <w:sz w:val="28"/>
          <w:szCs w:val="28"/>
          <w:lang w:val="en-GB"/>
        </w:rPr>
        <w:t>.</w:t>
      </w:r>
      <w:r w:rsidRPr="001030F5">
        <w:rPr>
          <w:rFonts w:ascii="Arial" w:hAnsi="Arial" w:cs="Arial"/>
          <w:bCs/>
          <w:color w:val="1A1617"/>
          <w:sz w:val="28"/>
          <w:szCs w:val="28"/>
          <w:lang w:val="en-GB"/>
        </w:rPr>
        <w:tab/>
      </w:r>
      <w:r w:rsidR="00C864C7" w:rsidRPr="001030F5">
        <w:rPr>
          <w:rFonts w:ascii="Arial" w:hAnsi="Arial" w:cs="Arial"/>
          <w:bCs/>
          <w:color w:val="1A1617"/>
          <w:sz w:val="28"/>
          <w:szCs w:val="28"/>
          <w:lang w:val="en-GB"/>
        </w:rPr>
        <w:t>Each of the discretized indicators</w:t>
      </w:r>
      <w:r w:rsidR="00D840FD" w:rsidRPr="001030F5">
        <w:rPr>
          <w:rFonts w:ascii="Arial" w:hAnsi="Arial" w:cs="Arial"/>
          <w:bCs/>
          <w:color w:val="1A1617"/>
          <w:sz w:val="28"/>
          <w:szCs w:val="28"/>
          <w:lang w:val="en-GB"/>
        </w:rPr>
        <w:t xml:space="preserve"> </w:t>
      </w:r>
      <w:r w:rsidR="00244062" w:rsidRPr="001030F5">
        <w:rPr>
          <w:rFonts w:ascii="Arial" w:hAnsi="Arial" w:cs="Arial"/>
          <w:bCs/>
          <w:color w:val="1A1617"/>
          <w:sz w:val="28"/>
          <w:szCs w:val="28"/>
          <w:lang w:val="en-GB"/>
        </w:rPr>
        <w:t>(</w:t>
      </w:r>
      <w:r w:rsidR="00244062" w:rsidRPr="001030F5">
        <w:rPr>
          <w:rFonts w:ascii="Arial" w:hAnsi="Arial" w:cs="Arial"/>
          <w:b/>
          <w:i/>
          <w:iCs/>
          <w:color w:val="1A1617"/>
          <w:sz w:val="28"/>
          <w:szCs w:val="28"/>
          <w:lang w:val="en-GB"/>
        </w:rPr>
        <w:t>I</w:t>
      </w:r>
      <w:r w:rsidR="00244062" w:rsidRPr="001030F5">
        <w:rPr>
          <w:rFonts w:ascii="Arial" w:hAnsi="Arial" w:cs="Arial"/>
          <w:b/>
          <w:i/>
          <w:iCs/>
          <w:color w:val="1A1617"/>
          <w:sz w:val="28"/>
          <w:szCs w:val="28"/>
          <w:vertAlign w:val="subscript"/>
          <w:lang w:val="en-GB"/>
        </w:rPr>
        <w:t>ij</w:t>
      </w:r>
      <w:r w:rsidR="00244062" w:rsidRPr="001030F5">
        <w:rPr>
          <w:rFonts w:ascii="Arial" w:hAnsi="Arial" w:cs="Arial"/>
          <w:bCs/>
          <w:color w:val="1A1617"/>
          <w:sz w:val="28"/>
          <w:szCs w:val="28"/>
          <w:lang w:val="en-GB"/>
        </w:rPr>
        <w:t xml:space="preserve">) </w:t>
      </w:r>
      <w:r w:rsidR="00C864C7" w:rsidRPr="001030F5">
        <w:rPr>
          <w:rFonts w:ascii="Arial" w:hAnsi="Arial" w:cs="Arial"/>
          <w:bCs/>
          <w:color w:val="1A1617"/>
          <w:sz w:val="28"/>
          <w:szCs w:val="28"/>
          <w:lang w:val="en-GB"/>
        </w:rPr>
        <w:t xml:space="preserve">calculated in accordance with Section 2 of this Annex shall be rescaled over the range </w:t>
      </w:r>
      <w:r w:rsidR="00C12514" w:rsidRPr="001030F5">
        <w:rPr>
          <w:rFonts w:ascii="Arial" w:hAnsi="Arial" w:cs="Arial"/>
          <w:bCs/>
          <w:color w:val="1A1617"/>
          <w:sz w:val="28"/>
          <w:szCs w:val="28"/>
          <w:lang w:val="en-GB"/>
        </w:rPr>
        <w:t>1 – 1000</w:t>
      </w:r>
      <w:r w:rsidR="00C864C7" w:rsidRPr="001030F5">
        <w:rPr>
          <w:rFonts w:ascii="Arial" w:hAnsi="Arial" w:cs="Arial"/>
          <w:bCs/>
          <w:color w:val="1A1617"/>
          <w:sz w:val="28"/>
          <w:szCs w:val="28"/>
          <w:lang w:val="en-GB"/>
        </w:rPr>
        <w:t xml:space="preserve"> by applying the following formula</w:t>
      </w:r>
      <w:r w:rsidR="00C12514" w:rsidRPr="001030F5">
        <w:rPr>
          <w:rFonts w:ascii="Arial" w:hAnsi="Arial" w:cs="Arial"/>
          <w:bCs/>
          <w:color w:val="1A1617"/>
          <w:sz w:val="28"/>
          <w:szCs w:val="28"/>
          <w:lang w:val="en-GB"/>
        </w:rPr>
        <w:t>:</w:t>
      </w:r>
    </w:p>
    <w:p w14:paraId="76284F86" w14:textId="77777777" w:rsidR="00C12514" w:rsidRPr="001030F5" w:rsidRDefault="00C12514" w:rsidP="00DF00F1">
      <w:pPr>
        <w:widowControl w:val="0"/>
        <w:spacing w:after="0" w:line="240" w:lineRule="auto"/>
        <w:rPr>
          <w:rFonts w:ascii="Arial" w:hAnsi="Arial" w:cs="Arial"/>
          <w:b/>
          <w:color w:val="1A1617"/>
          <w:sz w:val="16"/>
          <w:szCs w:val="16"/>
          <w:lang w:val="en-GB"/>
        </w:rPr>
      </w:pPr>
    </w:p>
    <w:p w14:paraId="037FB60E" w14:textId="6DDF6EC7" w:rsidR="001F6FE0" w:rsidRPr="001030F5" w:rsidRDefault="00C809AA" w:rsidP="00DF00F1">
      <w:pPr>
        <w:widowControl w:val="0"/>
        <w:spacing w:after="0" w:line="240" w:lineRule="auto"/>
        <w:jc w:val="center"/>
        <w:rPr>
          <w:rFonts w:ascii="Arial" w:hAnsi="Arial" w:cs="Arial"/>
          <w:b/>
          <w:color w:val="1A1617"/>
          <w:sz w:val="28"/>
          <w:szCs w:val="28"/>
          <w:lang w:val="en-GB"/>
        </w:rPr>
      </w:pPr>
      <w:r w:rsidRPr="001030F5">
        <w:rPr>
          <w:rFonts w:ascii="Arial" w:hAnsi="Arial" w:cs="Arial"/>
          <w:noProof/>
          <w:sz w:val="28"/>
          <w:szCs w:val="28"/>
          <w:lang w:val="en-GB"/>
        </w:rPr>
        <w:drawing>
          <wp:inline distT="0" distB="0" distL="0" distR="0" wp14:anchorId="5010633A" wp14:editId="598F69EC">
            <wp:extent cx="5760720" cy="597535"/>
            <wp:effectExtent l="0" t="0" r="0" b="0"/>
            <wp:docPr id="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60720" cy="597535"/>
                    </a:xfrm>
                    <a:prstGeom prst="rect">
                      <a:avLst/>
                    </a:prstGeom>
                    <a:noFill/>
                    <a:ln>
                      <a:noFill/>
                    </a:ln>
                  </pic:spPr>
                </pic:pic>
              </a:graphicData>
            </a:graphic>
          </wp:inline>
        </w:drawing>
      </w:r>
    </w:p>
    <w:p w14:paraId="5577D9A0" w14:textId="15B2B013" w:rsidR="001F6FE0" w:rsidRPr="001030F5" w:rsidRDefault="00C864C7" w:rsidP="00DF00F1">
      <w:pPr>
        <w:widowControl w:val="0"/>
        <w:spacing w:after="0" w:line="240" w:lineRule="auto"/>
        <w:jc w:val="both"/>
        <w:rPr>
          <w:rFonts w:ascii="Arial" w:hAnsi="Arial" w:cs="Arial"/>
          <w:sz w:val="28"/>
          <w:szCs w:val="28"/>
          <w:lang w:val="en-GB"/>
        </w:rPr>
      </w:pPr>
      <w:r w:rsidRPr="001030F5">
        <w:rPr>
          <w:rFonts w:ascii="Arial" w:hAnsi="Arial" w:cs="Arial"/>
          <w:sz w:val="28"/>
          <w:szCs w:val="28"/>
          <w:lang w:val="en-GB"/>
        </w:rPr>
        <w:t>where the arguments of the minimum and the maximum functions shall be the values of all banks contributing to the Fund, for which the indicator is calculated.</w:t>
      </w:r>
    </w:p>
    <w:p w14:paraId="71E4C536" w14:textId="77777777" w:rsidR="001F6FE0" w:rsidRPr="001030F5" w:rsidRDefault="001F6FE0" w:rsidP="00DF00F1">
      <w:pPr>
        <w:widowControl w:val="0"/>
        <w:spacing w:after="0" w:line="240" w:lineRule="auto"/>
        <w:jc w:val="both"/>
        <w:rPr>
          <w:rFonts w:ascii="Arial" w:hAnsi="Arial" w:cs="Arial"/>
          <w:sz w:val="28"/>
          <w:szCs w:val="28"/>
          <w:lang w:val="en-GB"/>
        </w:rPr>
      </w:pPr>
    </w:p>
    <w:p w14:paraId="706E8CA5" w14:textId="30F1F9A8" w:rsidR="001F6FE0" w:rsidRPr="001030F5" w:rsidRDefault="00C864C7" w:rsidP="00DF00F1">
      <w:pPr>
        <w:widowControl w:val="0"/>
        <w:numPr>
          <w:ilvl w:val="0"/>
          <w:numId w:val="3"/>
        </w:numPr>
        <w:spacing w:after="0" w:line="240" w:lineRule="auto"/>
        <w:ind w:left="0" w:firstLine="0"/>
        <w:jc w:val="center"/>
        <w:rPr>
          <w:rFonts w:ascii="Arial" w:hAnsi="Arial" w:cs="Arial"/>
          <w:b/>
          <w:color w:val="1A1617"/>
          <w:sz w:val="28"/>
          <w:szCs w:val="28"/>
          <w:lang w:val="en-GB"/>
        </w:rPr>
      </w:pPr>
      <w:r w:rsidRPr="001030F5">
        <w:rPr>
          <w:rFonts w:ascii="Arial" w:hAnsi="Arial" w:cs="Arial"/>
          <w:b/>
          <w:color w:val="1A1617"/>
          <w:sz w:val="28"/>
          <w:szCs w:val="28"/>
          <w:lang w:val="en-GB"/>
        </w:rPr>
        <w:t>Inclusion of the assigned sign</w:t>
      </w:r>
      <w:r w:rsidR="001F6FE0" w:rsidRPr="001030F5">
        <w:rPr>
          <w:rFonts w:ascii="Arial" w:hAnsi="Arial" w:cs="Arial"/>
          <w:b/>
          <w:color w:val="1A1617"/>
          <w:sz w:val="28"/>
          <w:szCs w:val="28"/>
          <w:lang w:val="en-GB"/>
        </w:rPr>
        <w:t xml:space="preserve"> </w:t>
      </w:r>
    </w:p>
    <w:p w14:paraId="5C1682A9" w14:textId="77777777" w:rsidR="001F6FE0" w:rsidRPr="001030F5" w:rsidRDefault="001F6FE0" w:rsidP="00DF00F1">
      <w:pPr>
        <w:widowControl w:val="0"/>
        <w:spacing w:after="0" w:line="240" w:lineRule="auto"/>
        <w:jc w:val="center"/>
        <w:rPr>
          <w:rFonts w:ascii="Arial" w:hAnsi="Arial" w:cs="Arial"/>
          <w:b/>
          <w:color w:val="1A1617"/>
          <w:sz w:val="16"/>
          <w:szCs w:val="16"/>
          <w:lang w:val="en-GB"/>
        </w:rPr>
      </w:pPr>
    </w:p>
    <w:p w14:paraId="669F7CD0" w14:textId="2AF5420A" w:rsidR="001F6FE0" w:rsidRPr="001030F5" w:rsidRDefault="0048091D" w:rsidP="00DF00F1">
      <w:pPr>
        <w:widowControl w:val="0"/>
        <w:spacing w:after="0" w:line="240" w:lineRule="auto"/>
        <w:jc w:val="both"/>
        <w:rPr>
          <w:rFonts w:ascii="Arial" w:hAnsi="Arial" w:cs="Arial"/>
          <w:bCs/>
          <w:color w:val="1A1617"/>
          <w:sz w:val="28"/>
          <w:szCs w:val="28"/>
          <w:lang w:val="en-GB"/>
        </w:rPr>
      </w:pPr>
      <w:r w:rsidRPr="001030F5">
        <w:rPr>
          <w:rFonts w:ascii="Arial" w:hAnsi="Arial" w:cs="Arial"/>
          <w:bCs/>
          <w:color w:val="1A1617"/>
          <w:sz w:val="28"/>
          <w:szCs w:val="28"/>
          <w:lang w:val="en-GB"/>
        </w:rPr>
        <w:tab/>
      </w:r>
      <w:r w:rsidR="00D028F7" w:rsidRPr="001030F5">
        <w:rPr>
          <w:rFonts w:ascii="Arial" w:hAnsi="Arial" w:cs="Arial"/>
          <w:bCs/>
          <w:color w:val="1A1617"/>
          <w:sz w:val="28"/>
          <w:szCs w:val="28"/>
          <w:lang w:val="en-GB"/>
        </w:rPr>
        <w:t>7</w:t>
      </w:r>
      <w:r w:rsidRPr="001030F5">
        <w:rPr>
          <w:rFonts w:ascii="Arial" w:hAnsi="Arial" w:cs="Arial"/>
          <w:bCs/>
          <w:color w:val="1A1617"/>
          <w:sz w:val="28"/>
          <w:szCs w:val="28"/>
          <w:lang w:val="en-GB"/>
        </w:rPr>
        <w:t>.</w:t>
      </w:r>
      <w:r w:rsidRPr="001030F5">
        <w:rPr>
          <w:rFonts w:ascii="Arial" w:hAnsi="Arial" w:cs="Arial"/>
          <w:bCs/>
          <w:color w:val="1A1617"/>
          <w:sz w:val="28"/>
          <w:szCs w:val="28"/>
          <w:lang w:val="en-GB"/>
        </w:rPr>
        <w:tab/>
      </w:r>
      <w:r w:rsidR="00C864C7" w:rsidRPr="001030F5">
        <w:rPr>
          <w:rFonts w:ascii="Arial" w:hAnsi="Arial" w:cs="Arial"/>
          <w:bCs/>
          <w:color w:val="1A1617"/>
          <w:sz w:val="28"/>
          <w:szCs w:val="28"/>
          <w:lang w:val="en-GB"/>
        </w:rPr>
        <w:t>For the needs of transformation, some indicators shall be assigned the following signs:</w:t>
      </w:r>
    </w:p>
    <w:p w14:paraId="0F84153A" w14:textId="77777777" w:rsidR="001F6FE0" w:rsidRPr="001030F5" w:rsidRDefault="001F6FE0" w:rsidP="00DF00F1">
      <w:pPr>
        <w:widowControl w:val="0"/>
        <w:spacing w:after="0" w:line="240" w:lineRule="auto"/>
        <w:jc w:val="both"/>
        <w:rPr>
          <w:rFonts w:ascii="Arial" w:hAnsi="Arial" w:cs="Arial"/>
          <w:bCs/>
          <w:color w:val="1A1617"/>
          <w:sz w:val="28"/>
          <w:szCs w:val="28"/>
          <w:lang w:val="en-GB"/>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9"/>
        <w:gridCol w:w="3074"/>
        <w:gridCol w:w="3074"/>
      </w:tblGrid>
      <w:tr w:rsidR="001F6FE0" w:rsidRPr="001030F5" w14:paraId="4891DCAE" w14:textId="77777777" w:rsidTr="004A35C2">
        <w:trPr>
          <w:trHeight w:val="661"/>
        </w:trPr>
        <w:tc>
          <w:tcPr>
            <w:tcW w:w="2539" w:type="dxa"/>
            <w:shd w:val="clear" w:color="auto" w:fill="auto"/>
            <w:vAlign w:val="center"/>
          </w:tcPr>
          <w:p w14:paraId="592F077E" w14:textId="0FF46772" w:rsidR="001F6FE0" w:rsidRPr="001030F5" w:rsidRDefault="00C864C7" w:rsidP="00DF00F1">
            <w:pPr>
              <w:widowControl w:val="0"/>
              <w:spacing w:before="60" w:after="60" w:line="240" w:lineRule="auto"/>
              <w:jc w:val="center"/>
              <w:rPr>
                <w:rFonts w:ascii="Arial" w:hAnsi="Arial" w:cs="Arial"/>
                <w:b/>
                <w:color w:val="1A1617"/>
                <w:sz w:val="24"/>
                <w:szCs w:val="24"/>
                <w:lang w:val="en-GB"/>
              </w:rPr>
            </w:pPr>
            <w:r w:rsidRPr="001030F5">
              <w:rPr>
                <w:rFonts w:ascii="Arial" w:hAnsi="Arial" w:cs="Arial"/>
                <w:b/>
                <w:color w:val="1A1617"/>
                <w:sz w:val="24"/>
                <w:szCs w:val="24"/>
                <w:lang w:val="en-GB"/>
              </w:rPr>
              <w:t>Risk pillar</w:t>
            </w:r>
          </w:p>
        </w:tc>
        <w:tc>
          <w:tcPr>
            <w:tcW w:w="3074" w:type="dxa"/>
            <w:shd w:val="clear" w:color="auto" w:fill="auto"/>
            <w:vAlign w:val="center"/>
          </w:tcPr>
          <w:p w14:paraId="7C3F5A2A" w14:textId="09B15AE5" w:rsidR="001F6FE0" w:rsidRPr="001030F5" w:rsidRDefault="00C864C7" w:rsidP="00DF00F1">
            <w:pPr>
              <w:widowControl w:val="0"/>
              <w:spacing w:before="60" w:after="60" w:line="240" w:lineRule="auto"/>
              <w:jc w:val="center"/>
              <w:rPr>
                <w:rFonts w:ascii="Arial" w:hAnsi="Arial" w:cs="Arial"/>
                <w:b/>
                <w:color w:val="1A1617"/>
                <w:sz w:val="24"/>
                <w:szCs w:val="24"/>
                <w:lang w:val="en-GB"/>
              </w:rPr>
            </w:pPr>
            <w:r w:rsidRPr="001030F5">
              <w:rPr>
                <w:rFonts w:ascii="Arial" w:hAnsi="Arial" w:cs="Arial"/>
                <w:b/>
                <w:color w:val="1A1617"/>
                <w:sz w:val="24"/>
                <w:szCs w:val="24"/>
                <w:lang w:val="en-GB"/>
              </w:rPr>
              <w:t>Risk indicator</w:t>
            </w:r>
          </w:p>
        </w:tc>
        <w:tc>
          <w:tcPr>
            <w:tcW w:w="3074" w:type="dxa"/>
            <w:shd w:val="clear" w:color="auto" w:fill="auto"/>
            <w:vAlign w:val="center"/>
          </w:tcPr>
          <w:p w14:paraId="257304F4" w14:textId="5C8D1654" w:rsidR="001F6FE0" w:rsidRPr="001030F5" w:rsidRDefault="00C864C7" w:rsidP="00DF00F1">
            <w:pPr>
              <w:widowControl w:val="0"/>
              <w:spacing w:before="60" w:after="60" w:line="240" w:lineRule="auto"/>
              <w:jc w:val="center"/>
              <w:rPr>
                <w:rFonts w:ascii="Arial" w:hAnsi="Arial" w:cs="Arial"/>
                <w:b/>
                <w:color w:val="1A1617"/>
                <w:sz w:val="24"/>
                <w:szCs w:val="24"/>
                <w:lang w:val="en-GB"/>
              </w:rPr>
            </w:pPr>
            <w:r w:rsidRPr="001030F5">
              <w:rPr>
                <w:rFonts w:ascii="Arial" w:hAnsi="Arial" w:cs="Arial"/>
                <w:b/>
                <w:color w:val="1A1617"/>
                <w:sz w:val="24"/>
                <w:szCs w:val="24"/>
                <w:lang w:val="en-GB"/>
              </w:rPr>
              <w:t>Sign</w:t>
            </w:r>
          </w:p>
        </w:tc>
      </w:tr>
      <w:tr w:rsidR="00AF2ADA" w:rsidRPr="001030F5" w14:paraId="05BA3D44" w14:textId="77777777" w:rsidTr="004A35C2">
        <w:trPr>
          <w:trHeight w:val="330"/>
        </w:trPr>
        <w:tc>
          <w:tcPr>
            <w:tcW w:w="2539" w:type="dxa"/>
            <w:vMerge w:val="restart"/>
            <w:shd w:val="clear" w:color="auto" w:fill="auto"/>
            <w:vAlign w:val="center"/>
          </w:tcPr>
          <w:p w14:paraId="1ECBE976" w14:textId="3BCE155F" w:rsidR="00AF2ADA" w:rsidRPr="001030F5" w:rsidRDefault="00C864C7" w:rsidP="00DF00F1">
            <w:pPr>
              <w:widowControl w:val="0"/>
              <w:spacing w:before="60" w:after="60" w:line="240" w:lineRule="auto"/>
              <w:jc w:val="center"/>
              <w:rPr>
                <w:rFonts w:ascii="Arial" w:hAnsi="Arial" w:cs="Arial"/>
                <w:b/>
                <w:color w:val="1A1617"/>
                <w:sz w:val="24"/>
                <w:szCs w:val="24"/>
                <w:lang w:val="en-GB"/>
              </w:rPr>
            </w:pPr>
            <w:r w:rsidRPr="001030F5">
              <w:rPr>
                <w:rFonts w:ascii="Arial" w:hAnsi="Arial" w:cs="Arial"/>
                <w:b/>
                <w:color w:val="1A1617"/>
                <w:sz w:val="24"/>
                <w:szCs w:val="24"/>
                <w:lang w:val="en-GB"/>
              </w:rPr>
              <w:t>Risk exposure</w:t>
            </w:r>
          </w:p>
        </w:tc>
        <w:tc>
          <w:tcPr>
            <w:tcW w:w="3074" w:type="dxa"/>
            <w:shd w:val="clear" w:color="auto" w:fill="auto"/>
            <w:vAlign w:val="center"/>
          </w:tcPr>
          <w:p w14:paraId="0FC81D13" w14:textId="692A5330" w:rsidR="00AF2ADA" w:rsidRPr="001030F5" w:rsidRDefault="00826092" w:rsidP="00DF00F1">
            <w:pPr>
              <w:widowControl w:val="0"/>
              <w:spacing w:before="60" w:after="60" w:line="240" w:lineRule="auto"/>
              <w:jc w:val="center"/>
              <w:rPr>
                <w:rFonts w:ascii="Arial" w:hAnsi="Arial" w:cs="Arial"/>
                <w:b/>
                <w:color w:val="1A1617"/>
                <w:sz w:val="24"/>
                <w:szCs w:val="24"/>
                <w:lang w:val="en-GB"/>
              </w:rPr>
            </w:pPr>
            <w:r w:rsidRPr="001030F5">
              <w:rPr>
                <w:rFonts w:ascii="Arial" w:eastAsia="Times New Roman" w:hAnsi="Arial" w:cs="Arial"/>
                <w:b/>
                <w:bCs/>
                <w:sz w:val="24"/>
                <w:szCs w:val="24"/>
                <w:lang w:val="en-GB"/>
              </w:rPr>
              <w:t>funds in excess of MREL</w:t>
            </w:r>
          </w:p>
        </w:tc>
        <w:tc>
          <w:tcPr>
            <w:tcW w:w="3074" w:type="dxa"/>
            <w:shd w:val="clear" w:color="auto" w:fill="auto"/>
            <w:vAlign w:val="center"/>
          </w:tcPr>
          <w:p w14:paraId="0B102724" w14:textId="77777777" w:rsidR="00AF2ADA" w:rsidRPr="001030F5" w:rsidRDefault="00AF2ADA" w:rsidP="00DF00F1">
            <w:pPr>
              <w:widowControl w:val="0"/>
              <w:spacing w:before="60" w:after="60" w:line="240" w:lineRule="auto"/>
              <w:jc w:val="center"/>
              <w:rPr>
                <w:rFonts w:ascii="Arial" w:hAnsi="Arial" w:cs="Arial"/>
                <w:b/>
                <w:color w:val="1A1617"/>
                <w:sz w:val="24"/>
                <w:szCs w:val="24"/>
                <w:lang w:val="en-GB"/>
              </w:rPr>
            </w:pPr>
            <w:r w:rsidRPr="001030F5">
              <w:rPr>
                <w:rFonts w:ascii="Arial" w:hAnsi="Arial" w:cs="Arial"/>
                <w:b/>
                <w:color w:val="1A1617"/>
                <w:sz w:val="24"/>
                <w:szCs w:val="24"/>
                <w:lang w:val="en-GB"/>
              </w:rPr>
              <w:t>-</w:t>
            </w:r>
          </w:p>
        </w:tc>
      </w:tr>
      <w:tr w:rsidR="00AF2ADA" w:rsidRPr="001030F5" w14:paraId="1A8CECA2" w14:textId="77777777" w:rsidTr="004A35C2">
        <w:trPr>
          <w:trHeight w:val="330"/>
        </w:trPr>
        <w:tc>
          <w:tcPr>
            <w:tcW w:w="2539" w:type="dxa"/>
            <w:vMerge/>
            <w:shd w:val="clear" w:color="auto" w:fill="auto"/>
            <w:vAlign w:val="center"/>
          </w:tcPr>
          <w:p w14:paraId="54CCFB1F" w14:textId="77777777" w:rsidR="00AF2ADA" w:rsidRPr="001030F5" w:rsidRDefault="00AF2ADA" w:rsidP="00DF00F1">
            <w:pPr>
              <w:widowControl w:val="0"/>
              <w:spacing w:before="60" w:after="60" w:line="240" w:lineRule="auto"/>
              <w:jc w:val="center"/>
              <w:rPr>
                <w:rFonts w:ascii="Arial" w:hAnsi="Arial" w:cs="Arial"/>
                <w:b/>
                <w:color w:val="1A1617"/>
                <w:sz w:val="24"/>
                <w:szCs w:val="24"/>
                <w:lang w:val="en-GB"/>
              </w:rPr>
            </w:pPr>
          </w:p>
        </w:tc>
        <w:tc>
          <w:tcPr>
            <w:tcW w:w="3074" w:type="dxa"/>
            <w:shd w:val="clear" w:color="auto" w:fill="auto"/>
            <w:vAlign w:val="center"/>
          </w:tcPr>
          <w:p w14:paraId="56CAAE8D" w14:textId="246150F1" w:rsidR="00AF2ADA" w:rsidRPr="001030F5" w:rsidRDefault="00826092" w:rsidP="00DF00F1">
            <w:pPr>
              <w:widowControl w:val="0"/>
              <w:spacing w:before="60" w:after="60" w:line="240" w:lineRule="auto"/>
              <w:jc w:val="center"/>
              <w:rPr>
                <w:rFonts w:ascii="Arial" w:hAnsi="Arial" w:cs="Arial"/>
                <w:b/>
                <w:color w:val="1A1617"/>
                <w:sz w:val="24"/>
                <w:szCs w:val="24"/>
                <w:lang w:val="en-GB"/>
              </w:rPr>
            </w:pPr>
            <w:r w:rsidRPr="001030F5">
              <w:rPr>
                <w:rFonts w:ascii="Arial" w:hAnsi="Arial" w:cs="Arial"/>
                <w:b/>
                <w:color w:val="1A1617"/>
                <w:sz w:val="24"/>
                <w:szCs w:val="24"/>
                <w:lang w:val="en-GB"/>
              </w:rPr>
              <w:t>leverage</w:t>
            </w:r>
          </w:p>
        </w:tc>
        <w:tc>
          <w:tcPr>
            <w:tcW w:w="3074" w:type="dxa"/>
            <w:shd w:val="clear" w:color="auto" w:fill="auto"/>
            <w:vAlign w:val="center"/>
          </w:tcPr>
          <w:p w14:paraId="38972C58" w14:textId="77777777" w:rsidR="00AF2ADA" w:rsidRPr="001030F5" w:rsidRDefault="00AF2ADA" w:rsidP="00DF00F1">
            <w:pPr>
              <w:widowControl w:val="0"/>
              <w:spacing w:before="60" w:after="60" w:line="240" w:lineRule="auto"/>
              <w:jc w:val="center"/>
              <w:rPr>
                <w:rFonts w:ascii="Arial" w:hAnsi="Arial" w:cs="Arial"/>
                <w:b/>
                <w:color w:val="1A1617"/>
                <w:sz w:val="24"/>
                <w:szCs w:val="24"/>
                <w:lang w:val="en-GB"/>
              </w:rPr>
            </w:pPr>
            <w:r w:rsidRPr="001030F5">
              <w:rPr>
                <w:rFonts w:ascii="Arial" w:hAnsi="Arial" w:cs="Arial"/>
                <w:b/>
                <w:color w:val="1A1617"/>
                <w:sz w:val="24"/>
                <w:szCs w:val="24"/>
                <w:lang w:val="en-GB"/>
              </w:rPr>
              <w:t>-</w:t>
            </w:r>
          </w:p>
        </w:tc>
      </w:tr>
      <w:tr w:rsidR="00AF2ADA" w:rsidRPr="001030F5" w14:paraId="6111A9B6" w14:textId="77777777" w:rsidTr="004A35C2">
        <w:trPr>
          <w:trHeight w:val="330"/>
        </w:trPr>
        <w:tc>
          <w:tcPr>
            <w:tcW w:w="2539" w:type="dxa"/>
            <w:vMerge/>
            <w:shd w:val="clear" w:color="auto" w:fill="auto"/>
            <w:vAlign w:val="center"/>
          </w:tcPr>
          <w:p w14:paraId="2B5ED353" w14:textId="77777777" w:rsidR="00AF2ADA" w:rsidRPr="001030F5" w:rsidRDefault="00AF2ADA" w:rsidP="00DF00F1">
            <w:pPr>
              <w:widowControl w:val="0"/>
              <w:spacing w:before="60" w:after="60" w:line="240" w:lineRule="auto"/>
              <w:jc w:val="center"/>
              <w:rPr>
                <w:rFonts w:ascii="Arial" w:hAnsi="Arial" w:cs="Arial"/>
                <w:b/>
                <w:color w:val="1A1617"/>
                <w:sz w:val="24"/>
                <w:szCs w:val="24"/>
                <w:lang w:val="en-GB"/>
              </w:rPr>
            </w:pPr>
          </w:p>
        </w:tc>
        <w:tc>
          <w:tcPr>
            <w:tcW w:w="3074" w:type="dxa"/>
            <w:shd w:val="clear" w:color="auto" w:fill="auto"/>
            <w:vAlign w:val="center"/>
          </w:tcPr>
          <w:p w14:paraId="6FDDF423" w14:textId="71893D0C" w:rsidR="00AF2ADA" w:rsidRPr="001030F5" w:rsidRDefault="00244062" w:rsidP="00DF00F1">
            <w:pPr>
              <w:widowControl w:val="0"/>
              <w:spacing w:before="60" w:after="60" w:line="240" w:lineRule="auto"/>
              <w:jc w:val="center"/>
              <w:rPr>
                <w:rFonts w:ascii="Arial" w:hAnsi="Arial" w:cs="Arial"/>
                <w:b/>
                <w:color w:val="1A1617"/>
                <w:sz w:val="24"/>
                <w:szCs w:val="24"/>
                <w:lang w:val="en-GB"/>
              </w:rPr>
            </w:pPr>
            <w:r w:rsidRPr="001030F5">
              <w:rPr>
                <w:rFonts w:ascii="Arial" w:eastAsia="Times New Roman" w:hAnsi="Arial" w:cs="Arial"/>
                <w:b/>
                <w:sz w:val="24"/>
                <w:szCs w:val="24"/>
                <w:lang w:val="en-GB"/>
              </w:rPr>
              <w:t xml:space="preserve">СЕТ1 </w:t>
            </w:r>
            <w:r w:rsidR="00826092" w:rsidRPr="001030F5">
              <w:rPr>
                <w:rFonts w:ascii="Arial" w:eastAsia="Times New Roman" w:hAnsi="Arial" w:cs="Arial"/>
                <w:b/>
                <w:sz w:val="24"/>
                <w:szCs w:val="24"/>
                <w:lang w:val="en-GB"/>
              </w:rPr>
              <w:t>ratio</w:t>
            </w:r>
          </w:p>
        </w:tc>
        <w:tc>
          <w:tcPr>
            <w:tcW w:w="3074" w:type="dxa"/>
            <w:shd w:val="clear" w:color="auto" w:fill="auto"/>
            <w:vAlign w:val="center"/>
          </w:tcPr>
          <w:p w14:paraId="30EBCC84" w14:textId="77777777" w:rsidR="00AF2ADA" w:rsidRPr="001030F5" w:rsidRDefault="00AF2ADA" w:rsidP="00DF00F1">
            <w:pPr>
              <w:widowControl w:val="0"/>
              <w:spacing w:before="60" w:after="60" w:line="240" w:lineRule="auto"/>
              <w:jc w:val="center"/>
              <w:rPr>
                <w:rFonts w:ascii="Arial" w:hAnsi="Arial" w:cs="Arial"/>
                <w:b/>
                <w:color w:val="1A1617"/>
                <w:sz w:val="24"/>
                <w:szCs w:val="24"/>
                <w:lang w:val="en-GB"/>
              </w:rPr>
            </w:pPr>
            <w:r w:rsidRPr="001030F5">
              <w:rPr>
                <w:rFonts w:ascii="Arial" w:hAnsi="Arial" w:cs="Arial"/>
                <w:b/>
                <w:color w:val="1A1617"/>
                <w:sz w:val="24"/>
                <w:szCs w:val="24"/>
                <w:lang w:val="en-GB"/>
              </w:rPr>
              <w:t>-</w:t>
            </w:r>
          </w:p>
        </w:tc>
      </w:tr>
      <w:tr w:rsidR="00AF2ADA" w:rsidRPr="001030F5" w14:paraId="39AE5769" w14:textId="77777777" w:rsidTr="004A35C2">
        <w:trPr>
          <w:trHeight w:val="330"/>
        </w:trPr>
        <w:tc>
          <w:tcPr>
            <w:tcW w:w="2539" w:type="dxa"/>
            <w:vMerge/>
            <w:shd w:val="clear" w:color="auto" w:fill="auto"/>
            <w:vAlign w:val="center"/>
          </w:tcPr>
          <w:p w14:paraId="7DA88913" w14:textId="77777777" w:rsidR="00AF2ADA" w:rsidRPr="001030F5" w:rsidRDefault="00AF2ADA" w:rsidP="00DF00F1">
            <w:pPr>
              <w:widowControl w:val="0"/>
              <w:spacing w:before="60" w:after="60" w:line="240" w:lineRule="auto"/>
              <w:jc w:val="center"/>
              <w:rPr>
                <w:rFonts w:ascii="Arial" w:hAnsi="Arial" w:cs="Arial"/>
                <w:b/>
                <w:color w:val="1A1617"/>
                <w:sz w:val="24"/>
                <w:szCs w:val="24"/>
                <w:lang w:val="en-GB"/>
              </w:rPr>
            </w:pPr>
          </w:p>
        </w:tc>
        <w:tc>
          <w:tcPr>
            <w:tcW w:w="3074" w:type="dxa"/>
            <w:shd w:val="clear" w:color="auto" w:fill="auto"/>
            <w:vAlign w:val="center"/>
          </w:tcPr>
          <w:p w14:paraId="459F9590" w14:textId="17888245" w:rsidR="00AF2ADA" w:rsidRPr="001030F5" w:rsidRDefault="00244062" w:rsidP="00DF00F1">
            <w:pPr>
              <w:widowControl w:val="0"/>
              <w:spacing w:before="60" w:after="60" w:line="240" w:lineRule="auto"/>
              <w:jc w:val="center"/>
              <w:rPr>
                <w:rFonts w:ascii="Arial" w:hAnsi="Arial" w:cs="Arial"/>
                <w:b/>
                <w:color w:val="1A1617"/>
                <w:sz w:val="24"/>
                <w:szCs w:val="24"/>
                <w:lang w:val="en-GB"/>
              </w:rPr>
            </w:pPr>
            <w:r w:rsidRPr="001030F5">
              <w:rPr>
                <w:rFonts w:ascii="Arial" w:eastAsia="Times New Roman" w:hAnsi="Arial" w:cs="Arial"/>
                <w:b/>
                <w:sz w:val="24"/>
                <w:szCs w:val="24"/>
                <w:lang w:val="en-GB"/>
              </w:rPr>
              <w:t>TRE</w:t>
            </w:r>
            <w:r w:rsidR="00B70E51" w:rsidRPr="001030F5">
              <w:rPr>
                <w:rFonts w:ascii="Arial" w:eastAsia="Times New Roman" w:hAnsi="Arial" w:cs="Arial"/>
                <w:b/>
                <w:sz w:val="24"/>
                <w:szCs w:val="24"/>
                <w:lang w:val="en-GB"/>
              </w:rPr>
              <w:t xml:space="preserve"> /</w:t>
            </w:r>
            <w:r w:rsidR="00AF2ADA" w:rsidRPr="001030F5">
              <w:rPr>
                <w:rFonts w:ascii="Arial" w:eastAsia="Times New Roman" w:hAnsi="Arial" w:cs="Arial"/>
                <w:b/>
                <w:sz w:val="24"/>
                <w:szCs w:val="24"/>
                <w:lang w:val="en-GB"/>
              </w:rPr>
              <w:t xml:space="preserve"> </w:t>
            </w:r>
            <w:r w:rsidR="00826092" w:rsidRPr="001030F5">
              <w:rPr>
                <w:rFonts w:ascii="Arial" w:eastAsia="Times New Roman" w:hAnsi="Arial" w:cs="Arial"/>
                <w:b/>
                <w:sz w:val="24"/>
                <w:szCs w:val="24"/>
                <w:lang w:val="en-GB"/>
              </w:rPr>
              <w:t>total assets</w:t>
            </w:r>
          </w:p>
        </w:tc>
        <w:tc>
          <w:tcPr>
            <w:tcW w:w="3074" w:type="dxa"/>
            <w:shd w:val="clear" w:color="auto" w:fill="auto"/>
            <w:vAlign w:val="center"/>
          </w:tcPr>
          <w:p w14:paraId="1639924D" w14:textId="77777777" w:rsidR="00AF2ADA" w:rsidRPr="001030F5" w:rsidRDefault="00AF2ADA" w:rsidP="00DF00F1">
            <w:pPr>
              <w:widowControl w:val="0"/>
              <w:spacing w:before="60" w:after="60" w:line="240" w:lineRule="auto"/>
              <w:jc w:val="center"/>
              <w:rPr>
                <w:rFonts w:ascii="Arial" w:hAnsi="Arial" w:cs="Arial"/>
                <w:b/>
                <w:color w:val="1A1617"/>
                <w:sz w:val="24"/>
                <w:szCs w:val="24"/>
                <w:lang w:val="en-GB"/>
              </w:rPr>
            </w:pPr>
            <w:r w:rsidRPr="001030F5">
              <w:rPr>
                <w:rFonts w:ascii="Arial" w:hAnsi="Arial" w:cs="Arial"/>
                <w:b/>
                <w:color w:val="1A1617"/>
                <w:sz w:val="24"/>
                <w:szCs w:val="24"/>
                <w:lang w:val="en-GB"/>
              </w:rPr>
              <w:t>+</w:t>
            </w:r>
          </w:p>
        </w:tc>
      </w:tr>
      <w:tr w:rsidR="00AF2ADA" w:rsidRPr="001030F5" w14:paraId="4A14D9EC" w14:textId="77777777" w:rsidTr="004A35C2">
        <w:trPr>
          <w:trHeight w:val="330"/>
        </w:trPr>
        <w:tc>
          <w:tcPr>
            <w:tcW w:w="2539" w:type="dxa"/>
            <w:vMerge w:val="restart"/>
            <w:shd w:val="clear" w:color="auto" w:fill="auto"/>
            <w:vAlign w:val="center"/>
          </w:tcPr>
          <w:p w14:paraId="705C1CE6" w14:textId="3E8B4178" w:rsidR="00AF2ADA" w:rsidRPr="001030F5" w:rsidRDefault="00C864C7" w:rsidP="00DF00F1">
            <w:pPr>
              <w:widowControl w:val="0"/>
              <w:spacing w:before="60" w:after="60" w:line="240" w:lineRule="auto"/>
              <w:jc w:val="center"/>
              <w:rPr>
                <w:rFonts w:ascii="Arial" w:hAnsi="Arial" w:cs="Arial"/>
                <w:b/>
                <w:color w:val="1A1617"/>
                <w:sz w:val="24"/>
                <w:szCs w:val="24"/>
                <w:lang w:val="en-GB"/>
              </w:rPr>
            </w:pPr>
            <w:r w:rsidRPr="001030F5">
              <w:rPr>
                <w:rFonts w:ascii="Arial" w:eastAsia="Times New Roman" w:hAnsi="Arial" w:cs="Arial"/>
                <w:b/>
                <w:sz w:val="24"/>
                <w:szCs w:val="24"/>
                <w:lang w:val="en-GB"/>
              </w:rPr>
              <w:t>Stability of sources of funding</w:t>
            </w:r>
          </w:p>
        </w:tc>
        <w:tc>
          <w:tcPr>
            <w:tcW w:w="3074" w:type="dxa"/>
            <w:shd w:val="clear" w:color="auto" w:fill="auto"/>
            <w:vAlign w:val="center"/>
          </w:tcPr>
          <w:p w14:paraId="18CDA7E1" w14:textId="0B75BC87" w:rsidR="00AF2ADA" w:rsidRPr="001030F5" w:rsidRDefault="00244062" w:rsidP="00DF00F1">
            <w:pPr>
              <w:widowControl w:val="0"/>
              <w:spacing w:before="60" w:after="60" w:line="240" w:lineRule="auto"/>
              <w:jc w:val="center"/>
              <w:rPr>
                <w:rFonts w:ascii="Arial" w:hAnsi="Arial" w:cs="Arial"/>
                <w:b/>
                <w:color w:val="1A1617"/>
                <w:sz w:val="24"/>
                <w:szCs w:val="24"/>
                <w:lang w:val="en-GB"/>
              </w:rPr>
            </w:pPr>
            <w:r w:rsidRPr="001030F5">
              <w:rPr>
                <w:rFonts w:ascii="Arial" w:eastAsia="Times New Roman" w:hAnsi="Arial" w:cs="Arial"/>
                <w:b/>
                <w:sz w:val="24"/>
                <w:szCs w:val="24"/>
                <w:lang w:val="en-GB"/>
              </w:rPr>
              <w:t>NSFR</w:t>
            </w:r>
            <w:r w:rsidR="00AF2ADA" w:rsidRPr="001030F5">
              <w:rPr>
                <w:rFonts w:ascii="Arial" w:eastAsia="Times New Roman" w:hAnsi="Arial" w:cs="Arial"/>
                <w:b/>
                <w:sz w:val="24"/>
                <w:szCs w:val="24"/>
                <w:lang w:val="en-GB"/>
              </w:rPr>
              <w:t xml:space="preserve"> </w:t>
            </w:r>
          </w:p>
        </w:tc>
        <w:tc>
          <w:tcPr>
            <w:tcW w:w="3074" w:type="dxa"/>
            <w:shd w:val="clear" w:color="auto" w:fill="auto"/>
            <w:vAlign w:val="center"/>
          </w:tcPr>
          <w:p w14:paraId="24AE3430" w14:textId="77777777" w:rsidR="00AF2ADA" w:rsidRPr="001030F5" w:rsidRDefault="00AF2ADA" w:rsidP="00DF00F1">
            <w:pPr>
              <w:widowControl w:val="0"/>
              <w:spacing w:before="60" w:after="60" w:line="240" w:lineRule="auto"/>
              <w:jc w:val="center"/>
              <w:rPr>
                <w:rFonts w:ascii="Arial" w:hAnsi="Arial" w:cs="Arial"/>
                <w:b/>
                <w:color w:val="1A1617"/>
                <w:sz w:val="24"/>
                <w:szCs w:val="24"/>
                <w:lang w:val="en-GB"/>
              </w:rPr>
            </w:pPr>
            <w:r w:rsidRPr="001030F5">
              <w:rPr>
                <w:rFonts w:ascii="Arial" w:hAnsi="Arial" w:cs="Arial"/>
                <w:b/>
                <w:color w:val="1A1617"/>
                <w:sz w:val="24"/>
                <w:szCs w:val="24"/>
                <w:lang w:val="en-GB"/>
              </w:rPr>
              <w:t>-</w:t>
            </w:r>
          </w:p>
        </w:tc>
      </w:tr>
      <w:tr w:rsidR="00AF2ADA" w:rsidRPr="001030F5" w14:paraId="5B01747F" w14:textId="77777777" w:rsidTr="004A35C2">
        <w:trPr>
          <w:trHeight w:val="330"/>
        </w:trPr>
        <w:tc>
          <w:tcPr>
            <w:tcW w:w="2539" w:type="dxa"/>
            <w:vMerge/>
            <w:shd w:val="clear" w:color="auto" w:fill="auto"/>
            <w:vAlign w:val="center"/>
          </w:tcPr>
          <w:p w14:paraId="1CF90D53" w14:textId="77777777" w:rsidR="00AF2ADA" w:rsidRPr="001030F5" w:rsidRDefault="00AF2ADA" w:rsidP="00DF00F1">
            <w:pPr>
              <w:widowControl w:val="0"/>
              <w:spacing w:before="60" w:after="60" w:line="240" w:lineRule="auto"/>
              <w:jc w:val="center"/>
              <w:rPr>
                <w:rFonts w:ascii="Arial" w:hAnsi="Arial" w:cs="Arial"/>
                <w:b/>
                <w:color w:val="1A1617"/>
                <w:sz w:val="24"/>
                <w:szCs w:val="24"/>
                <w:lang w:val="en-GB"/>
              </w:rPr>
            </w:pPr>
          </w:p>
        </w:tc>
        <w:tc>
          <w:tcPr>
            <w:tcW w:w="3074" w:type="dxa"/>
            <w:shd w:val="clear" w:color="auto" w:fill="auto"/>
            <w:vAlign w:val="center"/>
          </w:tcPr>
          <w:p w14:paraId="1980F3C9" w14:textId="0A56FE98" w:rsidR="00AF2ADA" w:rsidRPr="001030F5" w:rsidRDefault="00244062" w:rsidP="00DF00F1">
            <w:pPr>
              <w:widowControl w:val="0"/>
              <w:spacing w:before="60" w:after="60" w:line="240" w:lineRule="auto"/>
              <w:jc w:val="center"/>
              <w:rPr>
                <w:rFonts w:ascii="Arial" w:hAnsi="Arial" w:cs="Arial"/>
                <w:b/>
                <w:color w:val="1A1617"/>
                <w:sz w:val="24"/>
                <w:szCs w:val="24"/>
                <w:lang w:val="en-GB"/>
              </w:rPr>
            </w:pPr>
            <w:r w:rsidRPr="001030F5">
              <w:rPr>
                <w:rFonts w:ascii="Arial" w:eastAsia="Times New Roman" w:hAnsi="Arial" w:cs="Arial"/>
                <w:b/>
                <w:sz w:val="24"/>
                <w:szCs w:val="24"/>
                <w:lang w:val="en-GB"/>
              </w:rPr>
              <w:t>LCR</w:t>
            </w:r>
            <w:r w:rsidR="00AF2ADA" w:rsidRPr="001030F5">
              <w:rPr>
                <w:rFonts w:ascii="Arial" w:eastAsia="Times New Roman" w:hAnsi="Arial" w:cs="Arial"/>
                <w:b/>
                <w:sz w:val="24"/>
                <w:szCs w:val="24"/>
                <w:lang w:val="en-GB"/>
              </w:rPr>
              <w:t xml:space="preserve"> </w:t>
            </w:r>
          </w:p>
        </w:tc>
        <w:tc>
          <w:tcPr>
            <w:tcW w:w="3074" w:type="dxa"/>
            <w:shd w:val="clear" w:color="auto" w:fill="auto"/>
            <w:vAlign w:val="center"/>
          </w:tcPr>
          <w:p w14:paraId="03151634" w14:textId="77777777" w:rsidR="00AF2ADA" w:rsidRPr="001030F5" w:rsidRDefault="00AF2ADA" w:rsidP="00DF00F1">
            <w:pPr>
              <w:widowControl w:val="0"/>
              <w:spacing w:before="60" w:after="60" w:line="240" w:lineRule="auto"/>
              <w:jc w:val="center"/>
              <w:rPr>
                <w:rFonts w:ascii="Arial" w:hAnsi="Arial" w:cs="Arial"/>
                <w:b/>
                <w:color w:val="1A1617"/>
                <w:sz w:val="24"/>
                <w:szCs w:val="24"/>
                <w:lang w:val="en-GB"/>
              </w:rPr>
            </w:pPr>
            <w:r w:rsidRPr="001030F5">
              <w:rPr>
                <w:rFonts w:ascii="Arial" w:hAnsi="Arial" w:cs="Arial"/>
                <w:b/>
                <w:color w:val="1A1617"/>
                <w:sz w:val="24"/>
                <w:szCs w:val="24"/>
                <w:lang w:val="en-GB"/>
              </w:rPr>
              <w:t>-</w:t>
            </w:r>
          </w:p>
        </w:tc>
      </w:tr>
      <w:tr w:rsidR="00AF2ADA" w:rsidRPr="001030F5" w14:paraId="5D87DD19" w14:textId="77777777" w:rsidTr="004A35C2">
        <w:trPr>
          <w:trHeight w:val="330"/>
        </w:trPr>
        <w:tc>
          <w:tcPr>
            <w:tcW w:w="2539" w:type="dxa"/>
            <w:shd w:val="clear" w:color="auto" w:fill="auto"/>
            <w:vAlign w:val="center"/>
          </w:tcPr>
          <w:p w14:paraId="61DF2166" w14:textId="39D2E7F5" w:rsidR="00AF2ADA" w:rsidRPr="001030F5" w:rsidRDefault="00C864C7" w:rsidP="00DF00F1">
            <w:pPr>
              <w:widowControl w:val="0"/>
              <w:spacing w:before="60" w:after="60" w:line="240" w:lineRule="auto"/>
              <w:jc w:val="center"/>
              <w:rPr>
                <w:rFonts w:ascii="Arial" w:hAnsi="Arial" w:cs="Arial"/>
                <w:b/>
                <w:color w:val="1A1617"/>
                <w:sz w:val="24"/>
                <w:szCs w:val="24"/>
                <w:lang w:val="en-GB"/>
              </w:rPr>
            </w:pPr>
            <w:r w:rsidRPr="001030F5">
              <w:rPr>
                <w:rFonts w:ascii="Arial" w:eastAsia="Times New Roman" w:hAnsi="Arial" w:cs="Arial"/>
                <w:b/>
                <w:bCs/>
                <w:sz w:val="24"/>
                <w:szCs w:val="24"/>
                <w:lang w:val="en-GB"/>
              </w:rPr>
              <w:t>Importance of a bank to financial stability</w:t>
            </w:r>
          </w:p>
        </w:tc>
        <w:tc>
          <w:tcPr>
            <w:tcW w:w="3074" w:type="dxa"/>
            <w:shd w:val="clear" w:color="auto" w:fill="auto"/>
            <w:vAlign w:val="center"/>
          </w:tcPr>
          <w:p w14:paraId="48114129" w14:textId="0CCF533A" w:rsidR="00AF2ADA" w:rsidRPr="001030F5" w:rsidRDefault="00826092" w:rsidP="00DF00F1">
            <w:pPr>
              <w:widowControl w:val="0"/>
              <w:spacing w:before="60" w:after="60" w:line="240" w:lineRule="auto"/>
              <w:jc w:val="center"/>
              <w:rPr>
                <w:rFonts w:ascii="Arial" w:hAnsi="Arial" w:cs="Arial"/>
                <w:b/>
                <w:color w:val="1A1617"/>
                <w:sz w:val="24"/>
                <w:szCs w:val="24"/>
                <w:lang w:val="en-GB"/>
              </w:rPr>
            </w:pPr>
            <w:r w:rsidRPr="001030F5">
              <w:rPr>
                <w:rFonts w:ascii="Arial" w:eastAsia="Times New Roman" w:hAnsi="Arial" w:cs="Arial"/>
                <w:b/>
                <w:sz w:val="24"/>
                <w:szCs w:val="24"/>
                <w:lang w:val="en-GB"/>
              </w:rPr>
              <w:t>share</w:t>
            </w:r>
            <w:r w:rsidR="00AF2ADA" w:rsidRPr="001030F5">
              <w:rPr>
                <w:rFonts w:ascii="Arial" w:eastAsia="Times New Roman" w:hAnsi="Arial" w:cs="Arial"/>
                <w:b/>
                <w:sz w:val="24"/>
                <w:szCs w:val="24"/>
                <w:lang w:val="en-GB"/>
              </w:rPr>
              <w:t xml:space="preserve"> </w:t>
            </w:r>
            <w:r w:rsidRPr="001030F5">
              <w:rPr>
                <w:rFonts w:ascii="Arial" w:eastAsia="Times New Roman" w:hAnsi="Arial" w:cs="Arial"/>
                <w:b/>
                <w:sz w:val="24"/>
                <w:szCs w:val="24"/>
                <w:lang w:val="en-GB"/>
              </w:rPr>
              <w:t>of the bank in interbank loans and deposits</w:t>
            </w:r>
            <w:r w:rsidR="00AF2ADA" w:rsidRPr="001030F5">
              <w:rPr>
                <w:rFonts w:ascii="Arial" w:eastAsia="Times New Roman" w:hAnsi="Arial" w:cs="Arial"/>
                <w:b/>
                <w:sz w:val="24"/>
                <w:szCs w:val="24"/>
                <w:lang w:val="en-GB"/>
              </w:rPr>
              <w:t xml:space="preserve"> </w:t>
            </w:r>
          </w:p>
        </w:tc>
        <w:tc>
          <w:tcPr>
            <w:tcW w:w="3074" w:type="dxa"/>
            <w:shd w:val="clear" w:color="auto" w:fill="auto"/>
            <w:vAlign w:val="center"/>
          </w:tcPr>
          <w:p w14:paraId="58FDAC71" w14:textId="77777777" w:rsidR="00AF2ADA" w:rsidRPr="001030F5" w:rsidRDefault="00AF2ADA" w:rsidP="00DF00F1">
            <w:pPr>
              <w:widowControl w:val="0"/>
              <w:spacing w:before="60" w:after="60" w:line="240" w:lineRule="auto"/>
              <w:jc w:val="center"/>
              <w:rPr>
                <w:rFonts w:ascii="Arial" w:hAnsi="Arial" w:cs="Arial"/>
                <w:b/>
                <w:color w:val="1A1617"/>
                <w:sz w:val="24"/>
                <w:szCs w:val="24"/>
                <w:lang w:val="en-GB"/>
              </w:rPr>
            </w:pPr>
          </w:p>
          <w:p w14:paraId="16CD5022" w14:textId="77777777" w:rsidR="00AF2ADA" w:rsidRPr="001030F5" w:rsidRDefault="00AF2ADA" w:rsidP="00DF00F1">
            <w:pPr>
              <w:widowControl w:val="0"/>
              <w:spacing w:before="60" w:after="60" w:line="240" w:lineRule="auto"/>
              <w:jc w:val="center"/>
              <w:rPr>
                <w:rFonts w:ascii="Arial" w:hAnsi="Arial" w:cs="Arial"/>
                <w:b/>
                <w:color w:val="1A1617"/>
                <w:sz w:val="24"/>
                <w:szCs w:val="24"/>
                <w:lang w:val="en-GB"/>
              </w:rPr>
            </w:pPr>
            <w:r w:rsidRPr="001030F5">
              <w:rPr>
                <w:rFonts w:ascii="Arial" w:hAnsi="Arial" w:cs="Arial"/>
                <w:b/>
                <w:color w:val="1A1617"/>
                <w:sz w:val="24"/>
                <w:szCs w:val="24"/>
                <w:lang w:val="en-GB"/>
              </w:rPr>
              <w:t>+</w:t>
            </w:r>
          </w:p>
        </w:tc>
      </w:tr>
      <w:tr w:rsidR="007440FD" w:rsidRPr="001030F5" w14:paraId="5ADF600C" w14:textId="77777777" w:rsidTr="00814F25">
        <w:trPr>
          <w:trHeight w:val="330"/>
        </w:trPr>
        <w:tc>
          <w:tcPr>
            <w:tcW w:w="2539" w:type="dxa"/>
            <w:vMerge w:val="restart"/>
            <w:shd w:val="clear" w:color="auto" w:fill="auto"/>
            <w:vAlign w:val="center"/>
          </w:tcPr>
          <w:p w14:paraId="403A037D" w14:textId="1FA9149A" w:rsidR="007440FD" w:rsidRPr="001030F5" w:rsidRDefault="00C864C7" w:rsidP="00DF00F1">
            <w:pPr>
              <w:widowControl w:val="0"/>
              <w:spacing w:before="60" w:after="60" w:line="240" w:lineRule="auto"/>
              <w:jc w:val="center"/>
              <w:rPr>
                <w:rFonts w:ascii="Arial" w:hAnsi="Arial" w:cs="Arial"/>
                <w:b/>
                <w:color w:val="1A1617"/>
                <w:sz w:val="24"/>
                <w:szCs w:val="24"/>
                <w:lang w:val="en-GB"/>
              </w:rPr>
            </w:pPr>
            <w:r w:rsidRPr="001030F5">
              <w:rPr>
                <w:rFonts w:ascii="Arial" w:hAnsi="Arial" w:cs="Arial"/>
                <w:b/>
                <w:color w:val="1A1617"/>
                <w:sz w:val="24"/>
                <w:szCs w:val="24"/>
                <w:lang w:val="en-GB"/>
              </w:rPr>
              <w:t>Additional risk indicators</w:t>
            </w:r>
          </w:p>
        </w:tc>
        <w:tc>
          <w:tcPr>
            <w:tcW w:w="3074" w:type="dxa"/>
            <w:tcBorders>
              <w:bottom w:val="single" w:sz="4" w:space="0" w:color="auto"/>
            </w:tcBorders>
            <w:shd w:val="clear" w:color="auto" w:fill="auto"/>
            <w:vAlign w:val="center"/>
          </w:tcPr>
          <w:p w14:paraId="0CA4B279" w14:textId="69D9532F" w:rsidR="007440FD" w:rsidRPr="001030F5" w:rsidRDefault="00826092" w:rsidP="00DF00F1">
            <w:pPr>
              <w:widowControl w:val="0"/>
              <w:spacing w:before="60" w:after="60" w:line="240" w:lineRule="auto"/>
              <w:jc w:val="center"/>
              <w:rPr>
                <w:rFonts w:ascii="Arial" w:eastAsia="Times New Roman" w:hAnsi="Arial" w:cs="Arial"/>
                <w:b/>
                <w:sz w:val="24"/>
                <w:szCs w:val="24"/>
                <w:lang w:val="en-GB"/>
              </w:rPr>
            </w:pPr>
            <w:r w:rsidRPr="001030F5">
              <w:rPr>
                <w:rFonts w:ascii="Arial" w:eastAsia="Times New Roman" w:hAnsi="Arial" w:cs="Arial"/>
                <w:b/>
                <w:bCs/>
                <w:sz w:val="24"/>
                <w:szCs w:val="24"/>
                <w:lang w:val="en-GB"/>
              </w:rPr>
              <w:t>share</w:t>
            </w:r>
            <w:r w:rsidR="007B0F2D" w:rsidRPr="001030F5">
              <w:rPr>
                <w:rFonts w:ascii="Arial" w:eastAsia="Times New Roman" w:hAnsi="Arial" w:cs="Arial"/>
                <w:b/>
                <w:bCs/>
                <w:sz w:val="24"/>
                <w:szCs w:val="24"/>
                <w:lang w:val="en-GB"/>
              </w:rPr>
              <w:t xml:space="preserve"> </w:t>
            </w:r>
            <w:r w:rsidRPr="001030F5">
              <w:rPr>
                <w:rFonts w:ascii="Arial" w:eastAsia="Times New Roman" w:hAnsi="Arial" w:cs="Arial"/>
                <w:b/>
                <w:bCs/>
                <w:sz w:val="24"/>
                <w:szCs w:val="24"/>
                <w:lang w:val="en-GB"/>
              </w:rPr>
              <w:t>of the trading portfolio in total assets</w:t>
            </w:r>
          </w:p>
        </w:tc>
        <w:tc>
          <w:tcPr>
            <w:tcW w:w="3074" w:type="dxa"/>
            <w:shd w:val="clear" w:color="auto" w:fill="auto"/>
            <w:vAlign w:val="center"/>
          </w:tcPr>
          <w:p w14:paraId="255F7A31" w14:textId="77777777" w:rsidR="007440FD" w:rsidRPr="001030F5" w:rsidRDefault="007440FD" w:rsidP="00DF00F1">
            <w:pPr>
              <w:widowControl w:val="0"/>
              <w:spacing w:before="60" w:after="60" w:line="240" w:lineRule="auto"/>
              <w:jc w:val="center"/>
              <w:rPr>
                <w:rFonts w:ascii="Arial" w:hAnsi="Arial" w:cs="Arial"/>
                <w:b/>
                <w:color w:val="1A1617"/>
                <w:sz w:val="24"/>
                <w:szCs w:val="24"/>
                <w:lang w:val="en-GB"/>
              </w:rPr>
            </w:pPr>
            <w:r w:rsidRPr="001030F5">
              <w:rPr>
                <w:rFonts w:ascii="Arial" w:hAnsi="Arial" w:cs="Arial"/>
                <w:b/>
                <w:color w:val="1A1617"/>
                <w:sz w:val="24"/>
                <w:szCs w:val="24"/>
                <w:lang w:val="en-GB"/>
              </w:rPr>
              <w:t>+</w:t>
            </w:r>
          </w:p>
        </w:tc>
      </w:tr>
      <w:tr w:rsidR="007440FD" w:rsidRPr="001030F5" w14:paraId="18D62752" w14:textId="77777777" w:rsidTr="00814F25">
        <w:trPr>
          <w:trHeight w:val="330"/>
        </w:trPr>
        <w:tc>
          <w:tcPr>
            <w:tcW w:w="2539" w:type="dxa"/>
            <w:vMerge/>
            <w:shd w:val="clear" w:color="auto" w:fill="auto"/>
            <w:vAlign w:val="center"/>
          </w:tcPr>
          <w:p w14:paraId="467499AE" w14:textId="77777777" w:rsidR="007440FD" w:rsidRPr="001030F5" w:rsidRDefault="007440FD" w:rsidP="00DF00F1">
            <w:pPr>
              <w:widowControl w:val="0"/>
              <w:spacing w:before="60" w:after="60" w:line="240" w:lineRule="auto"/>
              <w:jc w:val="center"/>
              <w:rPr>
                <w:rFonts w:ascii="Arial" w:hAnsi="Arial" w:cs="Arial"/>
                <w:b/>
                <w:color w:val="1A1617"/>
                <w:sz w:val="24"/>
                <w:szCs w:val="24"/>
                <w:lang w:val="en-GB"/>
              </w:rPr>
            </w:pPr>
          </w:p>
        </w:tc>
        <w:tc>
          <w:tcPr>
            <w:tcW w:w="3074" w:type="dxa"/>
            <w:tcBorders>
              <w:bottom w:val="single" w:sz="4" w:space="0" w:color="auto"/>
            </w:tcBorders>
            <w:shd w:val="clear" w:color="auto" w:fill="auto"/>
            <w:vAlign w:val="center"/>
          </w:tcPr>
          <w:p w14:paraId="02388294" w14:textId="742C1063" w:rsidR="007440FD" w:rsidRPr="001030F5" w:rsidRDefault="00826092" w:rsidP="00DF00F1">
            <w:pPr>
              <w:widowControl w:val="0"/>
              <w:spacing w:before="60" w:after="60" w:line="240" w:lineRule="auto"/>
              <w:jc w:val="center"/>
              <w:rPr>
                <w:rFonts w:ascii="Arial" w:eastAsia="Times New Roman" w:hAnsi="Arial" w:cs="Arial"/>
                <w:b/>
                <w:sz w:val="24"/>
                <w:szCs w:val="24"/>
                <w:lang w:val="en-GB"/>
              </w:rPr>
            </w:pPr>
            <w:r w:rsidRPr="001030F5">
              <w:rPr>
                <w:rFonts w:ascii="Arial" w:eastAsia="Times New Roman" w:hAnsi="Arial" w:cs="Arial"/>
                <w:b/>
                <w:bCs/>
                <w:sz w:val="24"/>
                <w:szCs w:val="24"/>
                <w:lang w:val="en-GB"/>
              </w:rPr>
              <w:t>share of off-balance sheet exposures in total assets</w:t>
            </w:r>
          </w:p>
        </w:tc>
        <w:tc>
          <w:tcPr>
            <w:tcW w:w="3074" w:type="dxa"/>
            <w:shd w:val="clear" w:color="auto" w:fill="auto"/>
            <w:vAlign w:val="center"/>
          </w:tcPr>
          <w:p w14:paraId="4CF61D7D" w14:textId="77777777" w:rsidR="007440FD" w:rsidRPr="001030F5" w:rsidRDefault="007440FD" w:rsidP="00DF00F1">
            <w:pPr>
              <w:widowControl w:val="0"/>
              <w:spacing w:before="60" w:after="60" w:line="240" w:lineRule="auto"/>
              <w:jc w:val="center"/>
              <w:rPr>
                <w:rFonts w:ascii="Arial" w:hAnsi="Arial" w:cs="Arial"/>
                <w:b/>
                <w:color w:val="1A1617"/>
                <w:sz w:val="24"/>
                <w:szCs w:val="24"/>
                <w:lang w:val="en-GB"/>
              </w:rPr>
            </w:pPr>
            <w:r w:rsidRPr="001030F5">
              <w:rPr>
                <w:rFonts w:ascii="Arial" w:hAnsi="Arial" w:cs="Arial"/>
                <w:b/>
                <w:color w:val="1A1617"/>
                <w:sz w:val="24"/>
                <w:szCs w:val="24"/>
                <w:lang w:val="en-GB"/>
              </w:rPr>
              <w:t>+</w:t>
            </w:r>
          </w:p>
        </w:tc>
      </w:tr>
      <w:tr w:rsidR="0088593B" w:rsidRPr="001030F5" w14:paraId="0BD8BAD9" w14:textId="77777777" w:rsidTr="00814F25">
        <w:trPr>
          <w:trHeight w:val="330"/>
        </w:trPr>
        <w:tc>
          <w:tcPr>
            <w:tcW w:w="2539" w:type="dxa"/>
            <w:vMerge/>
            <w:shd w:val="clear" w:color="auto" w:fill="auto"/>
            <w:vAlign w:val="center"/>
          </w:tcPr>
          <w:p w14:paraId="6AAF3646" w14:textId="77777777" w:rsidR="0088593B" w:rsidRPr="001030F5" w:rsidRDefault="0088593B" w:rsidP="00DF00F1">
            <w:pPr>
              <w:widowControl w:val="0"/>
              <w:spacing w:before="60" w:after="60" w:line="240" w:lineRule="auto"/>
              <w:jc w:val="center"/>
              <w:rPr>
                <w:rFonts w:ascii="Arial" w:hAnsi="Arial" w:cs="Arial"/>
                <w:b/>
                <w:color w:val="1A1617"/>
                <w:sz w:val="24"/>
                <w:szCs w:val="24"/>
                <w:lang w:val="en-GB"/>
              </w:rPr>
            </w:pPr>
          </w:p>
        </w:tc>
        <w:tc>
          <w:tcPr>
            <w:tcW w:w="3074" w:type="dxa"/>
            <w:tcBorders>
              <w:bottom w:val="single" w:sz="4" w:space="0" w:color="auto"/>
            </w:tcBorders>
            <w:shd w:val="clear" w:color="auto" w:fill="auto"/>
            <w:vAlign w:val="center"/>
          </w:tcPr>
          <w:p w14:paraId="5EC21231" w14:textId="58DD88C7" w:rsidR="0088593B" w:rsidRPr="001030F5" w:rsidRDefault="00826092" w:rsidP="00DF00F1">
            <w:pPr>
              <w:widowControl w:val="0"/>
              <w:spacing w:before="60" w:after="60" w:line="240" w:lineRule="auto"/>
              <w:jc w:val="center"/>
              <w:rPr>
                <w:rFonts w:ascii="Arial" w:hAnsi="Arial" w:cs="Arial"/>
                <w:b/>
                <w:color w:val="1A1617"/>
                <w:sz w:val="24"/>
                <w:szCs w:val="24"/>
                <w:lang w:val="en-GB"/>
              </w:rPr>
            </w:pPr>
            <w:r w:rsidRPr="001030F5">
              <w:rPr>
                <w:rFonts w:ascii="Arial" w:eastAsia="Times New Roman" w:hAnsi="Arial" w:cs="Arial"/>
                <w:b/>
                <w:bCs/>
                <w:sz w:val="24"/>
                <w:szCs w:val="24"/>
                <w:lang w:val="en-GB"/>
              </w:rPr>
              <w:t>share of derivative business in total assets</w:t>
            </w:r>
          </w:p>
        </w:tc>
        <w:tc>
          <w:tcPr>
            <w:tcW w:w="3074" w:type="dxa"/>
            <w:shd w:val="clear" w:color="auto" w:fill="auto"/>
            <w:vAlign w:val="center"/>
          </w:tcPr>
          <w:p w14:paraId="5640B7D1" w14:textId="77777777" w:rsidR="0088593B" w:rsidRPr="001030F5" w:rsidRDefault="0088593B" w:rsidP="00DF00F1">
            <w:pPr>
              <w:widowControl w:val="0"/>
              <w:spacing w:before="60" w:after="60" w:line="240" w:lineRule="auto"/>
              <w:jc w:val="center"/>
              <w:rPr>
                <w:rFonts w:ascii="Arial" w:hAnsi="Arial" w:cs="Arial"/>
                <w:b/>
                <w:color w:val="1A1617"/>
                <w:sz w:val="24"/>
                <w:szCs w:val="24"/>
                <w:lang w:val="en-GB"/>
              </w:rPr>
            </w:pPr>
            <w:r w:rsidRPr="001030F5">
              <w:rPr>
                <w:rFonts w:ascii="Arial" w:hAnsi="Arial" w:cs="Arial"/>
                <w:b/>
                <w:color w:val="1A1617"/>
                <w:sz w:val="24"/>
                <w:szCs w:val="24"/>
                <w:lang w:val="en-GB"/>
              </w:rPr>
              <w:t>+</w:t>
            </w:r>
          </w:p>
        </w:tc>
      </w:tr>
      <w:tr w:rsidR="0088593B" w:rsidRPr="001030F5" w14:paraId="022EC79C" w14:textId="77777777" w:rsidTr="00814F25">
        <w:trPr>
          <w:trHeight w:val="330"/>
        </w:trPr>
        <w:tc>
          <w:tcPr>
            <w:tcW w:w="2539" w:type="dxa"/>
            <w:vMerge/>
            <w:shd w:val="clear" w:color="auto" w:fill="auto"/>
            <w:vAlign w:val="center"/>
          </w:tcPr>
          <w:p w14:paraId="1484DC38" w14:textId="77777777" w:rsidR="0088593B" w:rsidRPr="001030F5" w:rsidRDefault="0088593B" w:rsidP="00DF00F1">
            <w:pPr>
              <w:widowControl w:val="0"/>
              <w:spacing w:before="60" w:after="60" w:line="240" w:lineRule="auto"/>
              <w:jc w:val="center"/>
              <w:rPr>
                <w:rFonts w:ascii="Arial" w:hAnsi="Arial" w:cs="Arial"/>
                <w:b/>
                <w:color w:val="1A1617"/>
                <w:sz w:val="24"/>
                <w:szCs w:val="24"/>
                <w:lang w:val="en-GB"/>
              </w:rPr>
            </w:pPr>
          </w:p>
        </w:tc>
        <w:tc>
          <w:tcPr>
            <w:tcW w:w="3074" w:type="dxa"/>
            <w:tcBorders>
              <w:bottom w:val="single" w:sz="4" w:space="0" w:color="auto"/>
            </w:tcBorders>
            <w:shd w:val="clear" w:color="auto" w:fill="auto"/>
            <w:vAlign w:val="center"/>
          </w:tcPr>
          <w:p w14:paraId="48010B76" w14:textId="0DB644E4" w:rsidR="0088593B" w:rsidRPr="001030F5" w:rsidRDefault="00826092" w:rsidP="00DF00F1">
            <w:pPr>
              <w:widowControl w:val="0"/>
              <w:spacing w:before="60" w:after="60" w:line="240" w:lineRule="auto"/>
              <w:jc w:val="center"/>
              <w:rPr>
                <w:rFonts w:ascii="Arial" w:hAnsi="Arial" w:cs="Arial"/>
                <w:b/>
                <w:color w:val="1A1617"/>
                <w:sz w:val="24"/>
                <w:szCs w:val="24"/>
                <w:lang w:val="en-GB"/>
              </w:rPr>
            </w:pPr>
            <w:r w:rsidRPr="001030F5">
              <w:rPr>
                <w:rFonts w:ascii="Arial" w:eastAsia="Times New Roman" w:hAnsi="Arial" w:cs="Arial"/>
                <w:b/>
                <w:sz w:val="24"/>
                <w:szCs w:val="24"/>
                <w:lang w:val="en-GB"/>
              </w:rPr>
              <w:t>share</w:t>
            </w:r>
            <w:r w:rsidR="0088593B" w:rsidRPr="001030F5">
              <w:rPr>
                <w:rFonts w:ascii="Arial" w:eastAsia="Times New Roman" w:hAnsi="Arial" w:cs="Arial"/>
                <w:b/>
                <w:sz w:val="24"/>
                <w:szCs w:val="24"/>
                <w:lang w:val="en-GB"/>
              </w:rPr>
              <w:t xml:space="preserve"> </w:t>
            </w:r>
            <w:r w:rsidRPr="001030F5">
              <w:rPr>
                <w:rFonts w:ascii="Arial" w:eastAsia="Times New Roman" w:hAnsi="Arial" w:cs="Arial"/>
                <w:b/>
                <w:sz w:val="24"/>
                <w:szCs w:val="24"/>
                <w:lang w:val="en-GB"/>
              </w:rPr>
              <w:t>of gross NPLs in total loans</w:t>
            </w:r>
          </w:p>
        </w:tc>
        <w:tc>
          <w:tcPr>
            <w:tcW w:w="3074" w:type="dxa"/>
            <w:shd w:val="clear" w:color="auto" w:fill="auto"/>
            <w:vAlign w:val="center"/>
          </w:tcPr>
          <w:p w14:paraId="6B2193C4" w14:textId="77777777" w:rsidR="0088593B" w:rsidRPr="001030F5" w:rsidRDefault="0088593B" w:rsidP="00DF00F1">
            <w:pPr>
              <w:widowControl w:val="0"/>
              <w:spacing w:before="60" w:after="60" w:line="240" w:lineRule="auto"/>
              <w:jc w:val="center"/>
              <w:rPr>
                <w:rFonts w:ascii="Arial" w:hAnsi="Arial" w:cs="Arial"/>
                <w:b/>
                <w:color w:val="1A1617"/>
                <w:sz w:val="24"/>
                <w:szCs w:val="24"/>
                <w:lang w:val="en-GB"/>
              </w:rPr>
            </w:pPr>
            <w:r w:rsidRPr="001030F5">
              <w:rPr>
                <w:rFonts w:ascii="Arial" w:hAnsi="Arial" w:cs="Arial"/>
                <w:b/>
                <w:color w:val="1A1617"/>
                <w:sz w:val="24"/>
                <w:szCs w:val="24"/>
                <w:lang w:val="en-GB"/>
              </w:rPr>
              <w:t>+</w:t>
            </w:r>
          </w:p>
        </w:tc>
      </w:tr>
      <w:tr w:rsidR="0088593B" w:rsidRPr="001030F5" w14:paraId="6C246001" w14:textId="77777777" w:rsidTr="00814F25">
        <w:trPr>
          <w:trHeight w:val="330"/>
        </w:trPr>
        <w:tc>
          <w:tcPr>
            <w:tcW w:w="2539" w:type="dxa"/>
            <w:vMerge/>
            <w:shd w:val="clear" w:color="auto" w:fill="auto"/>
            <w:vAlign w:val="center"/>
          </w:tcPr>
          <w:p w14:paraId="57AC5375" w14:textId="77777777" w:rsidR="0088593B" w:rsidRPr="001030F5" w:rsidRDefault="0088593B" w:rsidP="00DF00F1">
            <w:pPr>
              <w:widowControl w:val="0"/>
              <w:spacing w:before="60" w:after="60" w:line="240" w:lineRule="auto"/>
              <w:jc w:val="center"/>
              <w:rPr>
                <w:rFonts w:ascii="Arial" w:hAnsi="Arial" w:cs="Arial"/>
                <w:b/>
                <w:color w:val="1A1617"/>
                <w:sz w:val="24"/>
                <w:szCs w:val="24"/>
                <w:lang w:val="en-GB"/>
              </w:rPr>
            </w:pPr>
          </w:p>
        </w:tc>
        <w:tc>
          <w:tcPr>
            <w:tcW w:w="3074" w:type="dxa"/>
            <w:tcBorders>
              <w:bottom w:val="single" w:sz="4" w:space="0" w:color="auto"/>
            </w:tcBorders>
            <w:shd w:val="clear" w:color="auto" w:fill="auto"/>
            <w:vAlign w:val="center"/>
          </w:tcPr>
          <w:p w14:paraId="090A9AA8" w14:textId="6614A23F" w:rsidR="0088593B" w:rsidRPr="001030F5" w:rsidRDefault="00826092" w:rsidP="00DF00F1">
            <w:pPr>
              <w:widowControl w:val="0"/>
              <w:spacing w:before="60" w:after="60" w:line="240" w:lineRule="auto"/>
              <w:jc w:val="center"/>
              <w:rPr>
                <w:rFonts w:ascii="Arial" w:hAnsi="Arial" w:cs="Arial"/>
                <w:b/>
                <w:color w:val="1A1617"/>
                <w:sz w:val="24"/>
                <w:szCs w:val="24"/>
                <w:lang w:val="en-GB"/>
              </w:rPr>
            </w:pPr>
            <w:r w:rsidRPr="001030F5">
              <w:rPr>
                <w:rFonts w:ascii="Arial" w:eastAsia="Times New Roman" w:hAnsi="Arial" w:cs="Arial"/>
                <w:b/>
                <w:sz w:val="24"/>
                <w:szCs w:val="24"/>
                <w:lang w:val="en-GB"/>
              </w:rPr>
              <w:t>share</w:t>
            </w:r>
            <w:r w:rsidR="0088593B" w:rsidRPr="001030F5">
              <w:rPr>
                <w:rFonts w:ascii="Arial" w:eastAsia="Times New Roman" w:hAnsi="Arial" w:cs="Arial"/>
                <w:b/>
                <w:sz w:val="24"/>
                <w:szCs w:val="24"/>
                <w:lang w:val="en-GB"/>
              </w:rPr>
              <w:t xml:space="preserve"> </w:t>
            </w:r>
            <w:r w:rsidRPr="001030F5">
              <w:rPr>
                <w:rFonts w:ascii="Arial" w:eastAsia="Times New Roman" w:hAnsi="Arial" w:cs="Arial"/>
                <w:b/>
                <w:sz w:val="24"/>
                <w:szCs w:val="24"/>
                <w:lang w:val="en-GB"/>
              </w:rPr>
              <w:t>of net NPLs in core capital</w:t>
            </w:r>
          </w:p>
        </w:tc>
        <w:tc>
          <w:tcPr>
            <w:tcW w:w="3074" w:type="dxa"/>
            <w:shd w:val="clear" w:color="auto" w:fill="auto"/>
            <w:vAlign w:val="center"/>
          </w:tcPr>
          <w:p w14:paraId="76DBDFC4" w14:textId="77777777" w:rsidR="0088593B" w:rsidRPr="001030F5" w:rsidRDefault="0088593B" w:rsidP="00DF00F1">
            <w:pPr>
              <w:widowControl w:val="0"/>
              <w:spacing w:before="60" w:after="60" w:line="240" w:lineRule="auto"/>
              <w:jc w:val="center"/>
              <w:rPr>
                <w:rFonts w:ascii="Arial" w:hAnsi="Arial" w:cs="Arial"/>
                <w:b/>
                <w:color w:val="1A1617"/>
                <w:sz w:val="24"/>
                <w:szCs w:val="24"/>
                <w:lang w:val="en-GB"/>
              </w:rPr>
            </w:pPr>
            <w:r w:rsidRPr="001030F5">
              <w:rPr>
                <w:rFonts w:ascii="Arial" w:hAnsi="Arial" w:cs="Arial"/>
                <w:b/>
                <w:color w:val="1A1617"/>
                <w:sz w:val="24"/>
                <w:szCs w:val="24"/>
                <w:lang w:val="en-GB"/>
              </w:rPr>
              <w:t>+</w:t>
            </w:r>
          </w:p>
        </w:tc>
      </w:tr>
      <w:tr w:rsidR="0088593B" w:rsidRPr="001030F5" w14:paraId="6C184BE3" w14:textId="77777777" w:rsidTr="004A35C2">
        <w:trPr>
          <w:trHeight w:val="330"/>
        </w:trPr>
        <w:tc>
          <w:tcPr>
            <w:tcW w:w="2539" w:type="dxa"/>
            <w:vMerge/>
            <w:shd w:val="clear" w:color="auto" w:fill="auto"/>
            <w:vAlign w:val="center"/>
          </w:tcPr>
          <w:p w14:paraId="4A8405AB" w14:textId="77777777" w:rsidR="0088593B" w:rsidRPr="001030F5" w:rsidRDefault="0088593B" w:rsidP="00DF00F1">
            <w:pPr>
              <w:widowControl w:val="0"/>
              <w:spacing w:before="60" w:after="60" w:line="240" w:lineRule="auto"/>
              <w:jc w:val="center"/>
              <w:rPr>
                <w:rFonts w:ascii="Arial" w:hAnsi="Arial" w:cs="Arial"/>
                <w:b/>
                <w:color w:val="1A1617"/>
                <w:sz w:val="24"/>
                <w:szCs w:val="24"/>
                <w:lang w:val="en-GB"/>
              </w:rPr>
            </w:pPr>
          </w:p>
        </w:tc>
        <w:tc>
          <w:tcPr>
            <w:tcW w:w="3074" w:type="dxa"/>
            <w:tcBorders>
              <w:bottom w:val="single" w:sz="4" w:space="0" w:color="auto"/>
            </w:tcBorders>
            <w:shd w:val="clear" w:color="auto" w:fill="auto"/>
            <w:vAlign w:val="center"/>
          </w:tcPr>
          <w:p w14:paraId="45DA3BF9" w14:textId="19378F4B" w:rsidR="0088593B" w:rsidRPr="001030F5" w:rsidRDefault="0088593B" w:rsidP="00DF00F1">
            <w:pPr>
              <w:widowControl w:val="0"/>
              <w:spacing w:before="60" w:after="60" w:line="240" w:lineRule="auto"/>
              <w:jc w:val="center"/>
              <w:rPr>
                <w:rFonts w:ascii="Arial" w:hAnsi="Arial" w:cs="Arial"/>
                <w:b/>
                <w:color w:val="1A1617"/>
                <w:sz w:val="24"/>
                <w:szCs w:val="24"/>
                <w:lang w:val="en-GB"/>
              </w:rPr>
            </w:pPr>
            <w:r w:rsidRPr="001030F5">
              <w:rPr>
                <w:rFonts w:ascii="Arial" w:eastAsia="Times New Roman" w:hAnsi="Arial" w:cs="Arial"/>
                <w:b/>
                <w:sz w:val="24"/>
                <w:szCs w:val="24"/>
                <w:lang w:val="en-GB"/>
              </w:rPr>
              <w:t>ROA</w:t>
            </w:r>
            <w:r w:rsidR="00FD1054" w:rsidRPr="001030F5">
              <w:rPr>
                <w:rFonts w:ascii="Arial" w:eastAsia="Times New Roman" w:hAnsi="Arial" w:cs="Arial"/>
                <w:b/>
                <w:sz w:val="24"/>
                <w:szCs w:val="24"/>
                <w:lang w:val="en-GB"/>
              </w:rPr>
              <w:t xml:space="preserve"> (</w:t>
            </w:r>
            <w:r w:rsidR="00826092" w:rsidRPr="001030F5">
              <w:rPr>
                <w:rFonts w:ascii="Arial" w:eastAsia="Times New Roman" w:hAnsi="Arial" w:cs="Arial"/>
                <w:b/>
                <w:sz w:val="24"/>
                <w:szCs w:val="24"/>
                <w:lang w:val="en-GB"/>
              </w:rPr>
              <w:t>after tax</w:t>
            </w:r>
            <w:r w:rsidR="00FD1054" w:rsidRPr="001030F5">
              <w:rPr>
                <w:rFonts w:ascii="Arial" w:eastAsia="Times New Roman" w:hAnsi="Arial" w:cs="Arial"/>
                <w:b/>
                <w:sz w:val="24"/>
                <w:szCs w:val="24"/>
                <w:lang w:val="en-GB"/>
              </w:rPr>
              <w:t>)</w:t>
            </w:r>
          </w:p>
        </w:tc>
        <w:tc>
          <w:tcPr>
            <w:tcW w:w="3074" w:type="dxa"/>
            <w:shd w:val="clear" w:color="auto" w:fill="auto"/>
            <w:vAlign w:val="center"/>
          </w:tcPr>
          <w:p w14:paraId="603BAAE7" w14:textId="77777777" w:rsidR="0088593B" w:rsidRPr="001030F5" w:rsidRDefault="0088593B" w:rsidP="00DF00F1">
            <w:pPr>
              <w:widowControl w:val="0"/>
              <w:spacing w:before="60" w:after="60" w:line="240" w:lineRule="auto"/>
              <w:jc w:val="center"/>
              <w:rPr>
                <w:rFonts w:ascii="Arial" w:hAnsi="Arial" w:cs="Arial"/>
                <w:b/>
                <w:color w:val="1A1617"/>
                <w:sz w:val="24"/>
                <w:szCs w:val="24"/>
                <w:lang w:val="en-GB"/>
              </w:rPr>
            </w:pPr>
            <w:r w:rsidRPr="001030F5">
              <w:rPr>
                <w:rFonts w:ascii="Arial" w:hAnsi="Arial" w:cs="Arial"/>
                <w:b/>
                <w:color w:val="1A1617"/>
                <w:sz w:val="24"/>
                <w:szCs w:val="24"/>
                <w:lang w:val="en-GB"/>
              </w:rPr>
              <w:t>-</w:t>
            </w:r>
          </w:p>
        </w:tc>
      </w:tr>
    </w:tbl>
    <w:p w14:paraId="7B2439D9" w14:textId="77777777" w:rsidR="001F6FE0" w:rsidRPr="001030F5" w:rsidRDefault="001F6FE0" w:rsidP="00DF00F1">
      <w:pPr>
        <w:widowControl w:val="0"/>
        <w:spacing w:after="0" w:line="240" w:lineRule="auto"/>
        <w:jc w:val="center"/>
        <w:rPr>
          <w:rFonts w:ascii="Arial" w:hAnsi="Arial" w:cs="Arial"/>
          <w:b/>
          <w:color w:val="1A1617"/>
          <w:sz w:val="28"/>
          <w:szCs w:val="28"/>
          <w:lang w:val="en-GB"/>
        </w:rPr>
      </w:pPr>
    </w:p>
    <w:p w14:paraId="3B80A887" w14:textId="77777777" w:rsidR="0054393B" w:rsidRDefault="00BD366C" w:rsidP="00DF00F1">
      <w:pPr>
        <w:widowControl w:val="0"/>
        <w:spacing w:after="0" w:line="240" w:lineRule="auto"/>
        <w:jc w:val="both"/>
        <w:rPr>
          <w:rFonts w:ascii="Arial" w:hAnsi="Arial" w:cs="Arial"/>
          <w:bCs/>
          <w:color w:val="1A1617"/>
          <w:sz w:val="28"/>
          <w:szCs w:val="28"/>
          <w:lang w:val="en-GB"/>
        </w:rPr>
      </w:pPr>
      <w:r w:rsidRPr="001030F5">
        <w:rPr>
          <w:rFonts w:ascii="Arial" w:hAnsi="Arial" w:cs="Arial"/>
          <w:bCs/>
          <w:color w:val="1A1617"/>
          <w:sz w:val="28"/>
          <w:szCs w:val="28"/>
          <w:lang w:val="en-GB"/>
        </w:rPr>
        <w:tab/>
      </w:r>
      <w:r w:rsidRPr="001030F5">
        <w:rPr>
          <w:rFonts w:ascii="Arial" w:hAnsi="Arial" w:cs="Arial"/>
          <w:bCs/>
          <w:color w:val="1A1617"/>
          <w:sz w:val="28"/>
          <w:szCs w:val="28"/>
          <w:lang w:val="en-GB"/>
        </w:rPr>
        <w:tab/>
      </w:r>
    </w:p>
    <w:p w14:paraId="37CC39BC" w14:textId="241B2700" w:rsidR="001F6FE0" w:rsidRPr="001030F5" w:rsidRDefault="00826092" w:rsidP="00DF00F1">
      <w:pPr>
        <w:widowControl w:val="0"/>
        <w:spacing w:after="0" w:line="240" w:lineRule="auto"/>
        <w:jc w:val="both"/>
        <w:rPr>
          <w:rFonts w:ascii="Arial" w:hAnsi="Arial" w:cs="Arial"/>
          <w:sz w:val="28"/>
          <w:szCs w:val="28"/>
          <w:lang w:val="en-GB"/>
        </w:rPr>
      </w:pPr>
      <w:r w:rsidRPr="001030F5">
        <w:rPr>
          <w:rFonts w:ascii="Arial" w:hAnsi="Arial" w:cs="Arial"/>
          <w:sz w:val="28"/>
          <w:szCs w:val="28"/>
          <w:lang w:val="en-GB"/>
        </w:rPr>
        <w:t xml:space="preserve">For indicators with </w:t>
      </w:r>
      <w:r w:rsidR="009C5C27">
        <w:rPr>
          <w:rFonts w:ascii="Arial" w:hAnsi="Arial" w:cs="Arial"/>
          <w:sz w:val="28"/>
          <w:szCs w:val="28"/>
          <w:lang w:val="en-GB"/>
        </w:rPr>
        <w:t xml:space="preserve">a </w:t>
      </w:r>
      <w:r w:rsidRPr="001030F5">
        <w:rPr>
          <w:rFonts w:ascii="Arial" w:hAnsi="Arial" w:cs="Arial"/>
          <w:sz w:val="28"/>
          <w:szCs w:val="28"/>
          <w:lang w:val="en-GB"/>
        </w:rPr>
        <w:t xml:space="preserve">positive sign, higher values correspond to higher riskiness of a bank. For indicators with </w:t>
      </w:r>
      <w:r w:rsidR="009C5C27">
        <w:rPr>
          <w:rFonts w:ascii="Arial" w:hAnsi="Arial" w:cs="Arial"/>
          <w:sz w:val="28"/>
          <w:szCs w:val="28"/>
          <w:lang w:val="en-GB"/>
        </w:rPr>
        <w:t xml:space="preserve">a </w:t>
      </w:r>
      <w:r w:rsidRPr="001030F5">
        <w:rPr>
          <w:rFonts w:ascii="Arial" w:hAnsi="Arial" w:cs="Arial"/>
          <w:sz w:val="28"/>
          <w:szCs w:val="28"/>
          <w:lang w:val="en-GB"/>
        </w:rPr>
        <w:t>negative sign, higher values correspond to lower riskiness of a bank.</w:t>
      </w:r>
    </w:p>
    <w:p w14:paraId="30CFBD89" w14:textId="77777777" w:rsidR="00AF2ADA" w:rsidRPr="001030F5" w:rsidRDefault="00AF2ADA" w:rsidP="00DF00F1">
      <w:pPr>
        <w:widowControl w:val="0"/>
        <w:spacing w:after="0" w:line="240" w:lineRule="auto"/>
        <w:jc w:val="both"/>
        <w:rPr>
          <w:rFonts w:ascii="Arial" w:hAnsi="Arial" w:cs="Arial"/>
          <w:sz w:val="28"/>
          <w:szCs w:val="28"/>
          <w:lang w:val="en-GB"/>
        </w:rPr>
      </w:pPr>
    </w:p>
    <w:p w14:paraId="5FD241C5" w14:textId="24E94534" w:rsidR="00AF2ADA" w:rsidRPr="001030F5" w:rsidRDefault="00BD366C" w:rsidP="00DF00F1">
      <w:pPr>
        <w:widowControl w:val="0"/>
        <w:spacing w:after="0" w:line="240" w:lineRule="auto"/>
        <w:jc w:val="both"/>
        <w:rPr>
          <w:rFonts w:ascii="Arial" w:hAnsi="Arial" w:cs="Arial"/>
          <w:sz w:val="28"/>
          <w:szCs w:val="28"/>
          <w:lang w:val="en-GB"/>
        </w:rPr>
      </w:pPr>
      <w:r w:rsidRPr="001030F5">
        <w:rPr>
          <w:rFonts w:ascii="Arial" w:hAnsi="Arial" w:cs="Arial"/>
          <w:bCs/>
          <w:color w:val="1A1617"/>
          <w:sz w:val="28"/>
          <w:szCs w:val="28"/>
          <w:lang w:val="en-GB"/>
        </w:rPr>
        <w:tab/>
      </w:r>
      <w:r w:rsidRPr="001030F5">
        <w:rPr>
          <w:rFonts w:ascii="Arial" w:hAnsi="Arial" w:cs="Arial"/>
          <w:bCs/>
          <w:color w:val="1A1617"/>
          <w:sz w:val="28"/>
          <w:szCs w:val="28"/>
          <w:lang w:val="en-GB"/>
        </w:rPr>
        <w:tab/>
      </w:r>
      <w:r w:rsidR="00826092" w:rsidRPr="001030F5">
        <w:rPr>
          <w:rFonts w:ascii="Arial" w:hAnsi="Arial" w:cs="Arial"/>
          <w:sz w:val="28"/>
          <w:szCs w:val="28"/>
          <w:lang w:val="en-GB"/>
        </w:rPr>
        <w:t>The following transformation shall be applied to each indicator calculated in accordance with Section 3 of this Annex</w:t>
      </w:r>
      <w:r w:rsidR="00AF2ADA" w:rsidRPr="001030F5">
        <w:rPr>
          <w:rFonts w:ascii="Arial" w:hAnsi="Arial" w:cs="Arial"/>
          <w:sz w:val="28"/>
          <w:szCs w:val="28"/>
          <w:lang w:val="en-GB"/>
        </w:rPr>
        <w:t xml:space="preserve"> </w:t>
      </w:r>
      <w:r w:rsidR="006235F3" w:rsidRPr="001030F5">
        <w:rPr>
          <w:rFonts w:ascii="Arial" w:hAnsi="Arial" w:cs="Arial"/>
          <w:sz w:val="28"/>
          <w:szCs w:val="28"/>
          <w:lang w:val="en-GB"/>
        </w:rPr>
        <w:t>(</w:t>
      </w:r>
      <w:r w:rsidR="00487529" w:rsidRPr="001030F5">
        <w:rPr>
          <w:rFonts w:ascii="Arial" w:hAnsi="Arial" w:cs="Arial"/>
          <w:b/>
          <w:bCs/>
          <w:i/>
          <w:iCs/>
          <w:sz w:val="28"/>
          <w:szCs w:val="28"/>
          <w:lang w:val="en-GB"/>
        </w:rPr>
        <w:t>R</w:t>
      </w:r>
      <w:r w:rsidR="00AF2ADA" w:rsidRPr="001030F5">
        <w:rPr>
          <w:rFonts w:ascii="Arial" w:hAnsi="Arial" w:cs="Arial"/>
          <w:b/>
          <w:bCs/>
          <w:i/>
          <w:iCs/>
          <w:sz w:val="28"/>
          <w:szCs w:val="28"/>
          <w:lang w:val="en-GB"/>
        </w:rPr>
        <w:t>I</w:t>
      </w:r>
      <w:r w:rsidR="0048659D" w:rsidRPr="001030F5">
        <w:rPr>
          <w:rFonts w:ascii="Arial" w:hAnsi="Arial" w:cs="Arial"/>
          <w:b/>
          <w:bCs/>
          <w:i/>
          <w:iCs/>
          <w:sz w:val="28"/>
          <w:szCs w:val="28"/>
          <w:vertAlign w:val="subscript"/>
          <w:lang w:val="en-GB"/>
        </w:rPr>
        <w:t>ij,n</w:t>
      </w:r>
      <w:r w:rsidR="006235F3" w:rsidRPr="001030F5">
        <w:rPr>
          <w:rFonts w:ascii="Arial" w:hAnsi="Arial" w:cs="Arial"/>
          <w:sz w:val="28"/>
          <w:szCs w:val="28"/>
          <w:lang w:val="en-GB"/>
        </w:rPr>
        <w:t>)</w:t>
      </w:r>
      <w:r w:rsidR="00AF2ADA" w:rsidRPr="001030F5">
        <w:rPr>
          <w:rFonts w:ascii="Arial" w:hAnsi="Arial" w:cs="Arial"/>
          <w:sz w:val="28"/>
          <w:szCs w:val="28"/>
          <w:lang w:val="en-GB"/>
        </w:rPr>
        <w:t>:</w:t>
      </w:r>
      <w:r w:rsidR="00826092" w:rsidRPr="001030F5">
        <w:rPr>
          <w:color w:val="333333"/>
          <w:sz w:val="27"/>
          <w:szCs w:val="27"/>
          <w:shd w:val="clear" w:color="auto" w:fill="FFFFFF"/>
          <w:lang w:val="en-GB"/>
        </w:rPr>
        <w:t xml:space="preserve"> </w:t>
      </w:r>
    </w:p>
    <w:p w14:paraId="20321715" w14:textId="77777777" w:rsidR="00AF2ADA" w:rsidRPr="001030F5" w:rsidRDefault="00AF2ADA" w:rsidP="00DF00F1">
      <w:pPr>
        <w:widowControl w:val="0"/>
        <w:spacing w:after="0" w:line="240" w:lineRule="auto"/>
        <w:jc w:val="both"/>
        <w:rPr>
          <w:rFonts w:ascii="Arial" w:hAnsi="Arial" w:cs="Arial"/>
          <w:sz w:val="28"/>
          <w:szCs w:val="28"/>
          <w:lang w:val="en-GB"/>
        </w:rPr>
      </w:pPr>
    </w:p>
    <w:p w14:paraId="3CAC456A" w14:textId="197104C8" w:rsidR="00AF2ADA" w:rsidRPr="001030F5" w:rsidRDefault="00C809AA" w:rsidP="00DF00F1">
      <w:pPr>
        <w:widowControl w:val="0"/>
        <w:spacing w:after="0" w:line="240" w:lineRule="auto"/>
        <w:jc w:val="center"/>
        <w:rPr>
          <w:rFonts w:ascii="Arial" w:hAnsi="Arial" w:cs="Arial"/>
          <w:sz w:val="28"/>
          <w:szCs w:val="28"/>
          <w:lang w:val="en-GB"/>
        </w:rPr>
      </w:pPr>
      <w:r w:rsidRPr="001030F5">
        <w:rPr>
          <w:rFonts w:ascii="Arial" w:hAnsi="Arial" w:cs="Arial"/>
          <w:noProof/>
          <w:sz w:val="28"/>
          <w:szCs w:val="28"/>
          <w:lang w:val="en-GB"/>
        </w:rPr>
        <w:drawing>
          <wp:inline distT="0" distB="0" distL="0" distR="0" wp14:anchorId="1FBB81C3" wp14:editId="107952FA">
            <wp:extent cx="5760720" cy="494030"/>
            <wp:effectExtent l="0" t="0" r="0" b="0"/>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60720" cy="494030"/>
                    </a:xfrm>
                    <a:prstGeom prst="rect">
                      <a:avLst/>
                    </a:prstGeom>
                    <a:noFill/>
                    <a:ln>
                      <a:noFill/>
                    </a:ln>
                  </pic:spPr>
                </pic:pic>
              </a:graphicData>
            </a:graphic>
          </wp:inline>
        </w:drawing>
      </w:r>
    </w:p>
    <w:p w14:paraId="37EFC39B" w14:textId="77777777" w:rsidR="00487529" w:rsidRPr="001030F5" w:rsidRDefault="00487529" w:rsidP="00DF00F1">
      <w:pPr>
        <w:widowControl w:val="0"/>
        <w:spacing w:after="0" w:line="240" w:lineRule="auto"/>
        <w:rPr>
          <w:rFonts w:ascii="Arial" w:hAnsi="Arial" w:cs="Arial"/>
          <w:b/>
          <w:color w:val="1A1617"/>
          <w:sz w:val="28"/>
          <w:szCs w:val="28"/>
          <w:lang w:val="en-GB"/>
        </w:rPr>
      </w:pPr>
    </w:p>
    <w:p w14:paraId="042FF1D2" w14:textId="37BF8667" w:rsidR="00487529" w:rsidRPr="001030F5" w:rsidRDefault="00826092" w:rsidP="00DF00F1">
      <w:pPr>
        <w:widowControl w:val="0"/>
        <w:numPr>
          <w:ilvl w:val="0"/>
          <w:numId w:val="3"/>
        </w:numPr>
        <w:spacing w:after="0" w:line="240" w:lineRule="auto"/>
        <w:ind w:left="0" w:firstLine="0"/>
        <w:jc w:val="center"/>
        <w:rPr>
          <w:rFonts w:ascii="Arial" w:hAnsi="Arial" w:cs="Arial"/>
          <w:b/>
          <w:color w:val="1A1617"/>
          <w:sz w:val="28"/>
          <w:szCs w:val="28"/>
          <w:lang w:val="en-GB"/>
        </w:rPr>
      </w:pPr>
      <w:r w:rsidRPr="001030F5">
        <w:rPr>
          <w:rFonts w:ascii="Arial" w:hAnsi="Arial" w:cs="Arial"/>
          <w:b/>
          <w:color w:val="1A1617"/>
          <w:sz w:val="28"/>
          <w:szCs w:val="28"/>
          <w:lang w:val="en-GB"/>
        </w:rPr>
        <w:t>Calculation of the composite indicator</w:t>
      </w:r>
    </w:p>
    <w:p w14:paraId="3E5CB6F8" w14:textId="77777777" w:rsidR="00487529" w:rsidRPr="001030F5" w:rsidRDefault="00487529" w:rsidP="00DF00F1">
      <w:pPr>
        <w:widowControl w:val="0"/>
        <w:spacing w:after="0" w:line="240" w:lineRule="auto"/>
        <w:jc w:val="center"/>
        <w:rPr>
          <w:rFonts w:ascii="Arial" w:hAnsi="Arial" w:cs="Arial"/>
          <w:b/>
          <w:color w:val="1A1617"/>
          <w:sz w:val="28"/>
          <w:szCs w:val="28"/>
          <w:lang w:val="en-GB"/>
        </w:rPr>
      </w:pPr>
    </w:p>
    <w:p w14:paraId="05E40BFC" w14:textId="6039BE2B" w:rsidR="00487529" w:rsidRPr="001030F5" w:rsidRDefault="0048091D" w:rsidP="00DF00F1">
      <w:pPr>
        <w:widowControl w:val="0"/>
        <w:spacing w:after="0" w:line="240" w:lineRule="auto"/>
        <w:jc w:val="both"/>
        <w:rPr>
          <w:rFonts w:ascii="Arial" w:hAnsi="Arial" w:cs="Arial"/>
          <w:bCs/>
          <w:color w:val="1A1617"/>
          <w:sz w:val="28"/>
          <w:szCs w:val="28"/>
          <w:lang w:val="en-GB"/>
        </w:rPr>
      </w:pPr>
      <w:r w:rsidRPr="001030F5">
        <w:rPr>
          <w:rFonts w:ascii="Arial" w:hAnsi="Arial" w:cs="Arial"/>
          <w:bCs/>
          <w:color w:val="1A1617"/>
          <w:sz w:val="28"/>
          <w:szCs w:val="28"/>
          <w:lang w:val="en-GB"/>
        </w:rPr>
        <w:tab/>
      </w:r>
      <w:r w:rsidR="006235F3" w:rsidRPr="001030F5">
        <w:rPr>
          <w:rFonts w:ascii="Arial" w:hAnsi="Arial" w:cs="Arial"/>
          <w:bCs/>
          <w:color w:val="1A1617"/>
          <w:sz w:val="28"/>
          <w:szCs w:val="28"/>
          <w:lang w:val="en-GB"/>
        </w:rPr>
        <w:t>8</w:t>
      </w:r>
      <w:r w:rsidRPr="001030F5">
        <w:rPr>
          <w:rFonts w:ascii="Arial" w:hAnsi="Arial" w:cs="Arial"/>
          <w:bCs/>
          <w:color w:val="1A1617"/>
          <w:sz w:val="28"/>
          <w:szCs w:val="28"/>
          <w:lang w:val="en-GB"/>
        </w:rPr>
        <w:t>.</w:t>
      </w:r>
      <w:r w:rsidRPr="001030F5">
        <w:rPr>
          <w:rFonts w:ascii="Arial" w:hAnsi="Arial" w:cs="Arial"/>
          <w:bCs/>
          <w:color w:val="1A1617"/>
          <w:sz w:val="28"/>
          <w:szCs w:val="28"/>
          <w:lang w:val="en-GB"/>
        </w:rPr>
        <w:tab/>
      </w:r>
      <w:r w:rsidR="00C840F8" w:rsidRPr="001030F5">
        <w:rPr>
          <w:rFonts w:ascii="Arial" w:hAnsi="Arial" w:cs="Arial"/>
          <w:bCs/>
          <w:color w:val="1A1617"/>
          <w:sz w:val="28"/>
          <w:szCs w:val="28"/>
          <w:lang w:val="en-GB"/>
        </w:rPr>
        <w:t>The risk indicators</w:t>
      </w:r>
      <w:r w:rsidR="00487529" w:rsidRPr="001030F5">
        <w:rPr>
          <w:rFonts w:ascii="Arial" w:hAnsi="Arial" w:cs="Arial"/>
          <w:bCs/>
          <w:color w:val="1A1617"/>
          <w:sz w:val="28"/>
          <w:szCs w:val="28"/>
          <w:lang w:val="en-GB"/>
        </w:rPr>
        <w:t xml:space="preserve"> </w:t>
      </w:r>
      <w:r w:rsidR="00CD066D" w:rsidRPr="001030F5">
        <w:rPr>
          <w:rFonts w:ascii="Arial" w:hAnsi="Arial" w:cs="Arial"/>
          <w:bCs/>
          <w:color w:val="1A1617"/>
          <w:sz w:val="28"/>
          <w:szCs w:val="28"/>
          <w:lang w:val="en-GB"/>
        </w:rPr>
        <w:t>(</w:t>
      </w:r>
      <w:r w:rsidR="00487529" w:rsidRPr="001030F5">
        <w:rPr>
          <w:rFonts w:ascii="Arial" w:hAnsi="Arial" w:cs="Arial"/>
          <w:b/>
          <w:i/>
          <w:iCs/>
          <w:color w:val="1A1617"/>
          <w:sz w:val="28"/>
          <w:szCs w:val="28"/>
          <w:lang w:val="en-GB"/>
        </w:rPr>
        <w:t>i</w:t>
      </w:r>
      <w:r w:rsidR="00CD066D" w:rsidRPr="001030F5">
        <w:rPr>
          <w:rFonts w:ascii="Arial" w:hAnsi="Arial" w:cs="Arial"/>
          <w:bCs/>
          <w:color w:val="1A1617"/>
          <w:sz w:val="28"/>
          <w:szCs w:val="28"/>
          <w:lang w:val="en-GB"/>
        </w:rPr>
        <w:t>)</w:t>
      </w:r>
      <w:r w:rsidR="00487529" w:rsidRPr="001030F5">
        <w:rPr>
          <w:rFonts w:ascii="Arial" w:hAnsi="Arial" w:cs="Arial"/>
          <w:bCs/>
          <w:i/>
          <w:iCs/>
          <w:color w:val="1A1617"/>
          <w:sz w:val="28"/>
          <w:szCs w:val="28"/>
          <w:lang w:val="en-GB"/>
        </w:rPr>
        <w:t xml:space="preserve"> </w:t>
      </w:r>
      <w:r w:rsidR="00C840F8" w:rsidRPr="001030F5">
        <w:rPr>
          <w:rFonts w:ascii="Arial" w:hAnsi="Arial" w:cs="Arial"/>
          <w:bCs/>
          <w:color w:val="1A1617"/>
          <w:sz w:val="28"/>
          <w:szCs w:val="28"/>
          <w:lang w:val="en-GB"/>
        </w:rPr>
        <w:t>within each risk pillar</w:t>
      </w:r>
      <w:r w:rsidR="00487529" w:rsidRPr="001030F5">
        <w:rPr>
          <w:rFonts w:ascii="Arial" w:hAnsi="Arial" w:cs="Arial"/>
          <w:bCs/>
          <w:color w:val="1A1617"/>
          <w:sz w:val="28"/>
          <w:szCs w:val="28"/>
          <w:lang w:val="en-GB"/>
        </w:rPr>
        <w:t xml:space="preserve"> </w:t>
      </w:r>
      <w:r w:rsidR="00CD066D" w:rsidRPr="001030F5">
        <w:rPr>
          <w:rFonts w:ascii="Arial" w:hAnsi="Arial" w:cs="Arial"/>
          <w:bCs/>
          <w:color w:val="1A1617"/>
          <w:sz w:val="28"/>
          <w:szCs w:val="28"/>
          <w:lang w:val="en-GB"/>
        </w:rPr>
        <w:t>(</w:t>
      </w:r>
      <w:r w:rsidR="00487529" w:rsidRPr="001030F5">
        <w:rPr>
          <w:rFonts w:ascii="Arial" w:hAnsi="Arial" w:cs="Arial"/>
          <w:b/>
          <w:i/>
          <w:iCs/>
          <w:color w:val="1A1617"/>
          <w:sz w:val="28"/>
          <w:szCs w:val="28"/>
          <w:lang w:val="en-GB"/>
        </w:rPr>
        <w:t>j</w:t>
      </w:r>
      <w:r w:rsidR="00CD066D" w:rsidRPr="001030F5">
        <w:rPr>
          <w:rFonts w:ascii="Arial" w:hAnsi="Arial" w:cs="Arial"/>
          <w:bCs/>
          <w:color w:val="1A1617"/>
          <w:sz w:val="28"/>
          <w:szCs w:val="28"/>
          <w:lang w:val="en-GB"/>
        </w:rPr>
        <w:t>)</w:t>
      </w:r>
      <w:r w:rsidR="00487529" w:rsidRPr="001030F5">
        <w:rPr>
          <w:rFonts w:ascii="Arial" w:hAnsi="Arial" w:cs="Arial"/>
          <w:bCs/>
          <w:color w:val="1A1617"/>
          <w:sz w:val="28"/>
          <w:szCs w:val="28"/>
          <w:lang w:val="en-GB"/>
        </w:rPr>
        <w:t xml:space="preserve"> </w:t>
      </w:r>
      <w:r w:rsidR="00C840F8" w:rsidRPr="001030F5">
        <w:rPr>
          <w:rFonts w:ascii="Arial" w:hAnsi="Arial" w:cs="Arial"/>
          <w:bCs/>
          <w:color w:val="1A1617"/>
          <w:sz w:val="28"/>
          <w:szCs w:val="28"/>
          <w:lang w:val="en-GB"/>
        </w:rPr>
        <w:t>shall be aggregated through a weighted arithmetic average by applying the following formula</w:t>
      </w:r>
      <w:r w:rsidR="00487529" w:rsidRPr="001030F5">
        <w:rPr>
          <w:rFonts w:ascii="Arial" w:hAnsi="Arial" w:cs="Arial"/>
          <w:bCs/>
          <w:color w:val="1A1617"/>
          <w:sz w:val="28"/>
          <w:szCs w:val="28"/>
          <w:lang w:val="en-GB"/>
        </w:rPr>
        <w:t>:</w:t>
      </w:r>
    </w:p>
    <w:p w14:paraId="18AC6564" w14:textId="77777777" w:rsidR="00487529" w:rsidRPr="001030F5" w:rsidRDefault="00487529" w:rsidP="00DF00F1">
      <w:pPr>
        <w:widowControl w:val="0"/>
        <w:spacing w:after="0" w:line="240" w:lineRule="auto"/>
        <w:rPr>
          <w:rFonts w:ascii="Arial" w:hAnsi="Arial" w:cs="Arial"/>
          <w:b/>
          <w:color w:val="1A1617"/>
          <w:sz w:val="28"/>
          <w:szCs w:val="28"/>
          <w:lang w:val="en-GB"/>
        </w:rPr>
      </w:pPr>
    </w:p>
    <w:p w14:paraId="28BA7290" w14:textId="4E8E13CE" w:rsidR="00487529" w:rsidRPr="001030F5" w:rsidRDefault="00C809AA" w:rsidP="00DF00F1">
      <w:pPr>
        <w:widowControl w:val="0"/>
        <w:spacing w:after="0" w:line="240" w:lineRule="auto"/>
        <w:jc w:val="center"/>
        <w:rPr>
          <w:rFonts w:ascii="Arial" w:hAnsi="Arial" w:cs="Arial"/>
          <w:sz w:val="28"/>
          <w:szCs w:val="28"/>
          <w:lang w:val="en-GB"/>
        </w:rPr>
      </w:pPr>
      <w:r w:rsidRPr="001030F5">
        <w:rPr>
          <w:rFonts w:ascii="Arial" w:hAnsi="Arial" w:cs="Arial"/>
          <w:noProof/>
          <w:sz w:val="28"/>
          <w:szCs w:val="28"/>
          <w:lang w:val="en-GB"/>
        </w:rPr>
        <w:drawing>
          <wp:inline distT="0" distB="0" distL="0" distR="0" wp14:anchorId="776DD992" wp14:editId="2F89A510">
            <wp:extent cx="5760720" cy="676910"/>
            <wp:effectExtent l="0" t="0" r="0" b="0"/>
            <wp:docPr id="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60720" cy="676910"/>
                    </a:xfrm>
                    <a:prstGeom prst="rect">
                      <a:avLst/>
                    </a:prstGeom>
                    <a:noFill/>
                    <a:ln>
                      <a:noFill/>
                    </a:ln>
                  </pic:spPr>
                </pic:pic>
              </a:graphicData>
            </a:graphic>
          </wp:inline>
        </w:drawing>
      </w:r>
    </w:p>
    <w:p w14:paraId="13C9D1DC" w14:textId="77777777" w:rsidR="00CD066D" w:rsidRPr="001030F5" w:rsidRDefault="00CD066D" w:rsidP="00DF00F1">
      <w:pPr>
        <w:widowControl w:val="0"/>
        <w:spacing w:after="0" w:line="240" w:lineRule="auto"/>
        <w:jc w:val="both"/>
        <w:rPr>
          <w:rFonts w:ascii="Arial" w:hAnsi="Arial" w:cs="Arial"/>
          <w:sz w:val="28"/>
          <w:szCs w:val="28"/>
          <w:lang w:val="en-GB"/>
        </w:rPr>
      </w:pPr>
    </w:p>
    <w:p w14:paraId="4084ACB4" w14:textId="18A4C744" w:rsidR="00487529" w:rsidRPr="001030F5" w:rsidRDefault="00C840F8" w:rsidP="00DF00F1">
      <w:pPr>
        <w:widowControl w:val="0"/>
        <w:spacing w:after="0" w:line="240" w:lineRule="auto"/>
        <w:jc w:val="both"/>
        <w:rPr>
          <w:rFonts w:ascii="Arial" w:hAnsi="Arial" w:cs="Arial"/>
          <w:sz w:val="28"/>
          <w:szCs w:val="28"/>
          <w:lang w:val="en-GB"/>
        </w:rPr>
      </w:pPr>
      <w:r w:rsidRPr="001030F5">
        <w:rPr>
          <w:rFonts w:ascii="Arial" w:hAnsi="Arial" w:cs="Arial"/>
          <w:sz w:val="28"/>
          <w:szCs w:val="28"/>
          <w:lang w:val="en-GB"/>
        </w:rPr>
        <w:t>where</w:t>
      </w:r>
      <w:r w:rsidR="00487529" w:rsidRPr="001030F5">
        <w:rPr>
          <w:rFonts w:ascii="Arial" w:hAnsi="Arial" w:cs="Arial"/>
          <w:sz w:val="28"/>
          <w:szCs w:val="28"/>
          <w:lang w:val="en-GB"/>
        </w:rPr>
        <w:t>:</w:t>
      </w:r>
    </w:p>
    <w:p w14:paraId="3CE24FAE" w14:textId="77777777" w:rsidR="00487529" w:rsidRPr="001030F5" w:rsidRDefault="00487529" w:rsidP="00DF00F1">
      <w:pPr>
        <w:widowControl w:val="0"/>
        <w:spacing w:after="0" w:line="240" w:lineRule="auto"/>
        <w:jc w:val="both"/>
        <w:rPr>
          <w:rFonts w:ascii="Arial" w:hAnsi="Arial" w:cs="Arial"/>
          <w:sz w:val="28"/>
          <w:szCs w:val="28"/>
          <w:lang w:val="en-GB"/>
        </w:rPr>
      </w:pPr>
    </w:p>
    <w:p w14:paraId="51179B54" w14:textId="44CA864D" w:rsidR="00487529" w:rsidRPr="001030F5" w:rsidRDefault="009C5E36" w:rsidP="00DF00F1">
      <w:pPr>
        <w:widowControl w:val="0"/>
        <w:spacing w:after="0" w:line="240" w:lineRule="auto"/>
        <w:jc w:val="both"/>
        <w:rPr>
          <w:rFonts w:ascii="Arial" w:hAnsi="Arial" w:cs="Arial"/>
          <w:sz w:val="28"/>
          <w:szCs w:val="28"/>
          <w:lang w:val="en-GB"/>
        </w:rPr>
      </w:pPr>
      <w:r w:rsidRPr="001030F5">
        <w:rPr>
          <w:rFonts w:ascii="Arial" w:hAnsi="Arial" w:cs="Arial"/>
          <w:b/>
          <w:bCs/>
          <w:i/>
          <w:iCs/>
          <w:sz w:val="28"/>
          <w:szCs w:val="28"/>
          <w:lang w:val="en-GB"/>
        </w:rPr>
        <w:t>w</w:t>
      </w:r>
      <w:r w:rsidR="0048659D" w:rsidRPr="001030F5">
        <w:rPr>
          <w:rFonts w:ascii="Arial" w:hAnsi="Arial" w:cs="Arial"/>
          <w:b/>
          <w:bCs/>
          <w:i/>
          <w:iCs/>
          <w:sz w:val="28"/>
          <w:szCs w:val="28"/>
          <w:vertAlign w:val="subscript"/>
          <w:lang w:val="en-GB"/>
        </w:rPr>
        <w:t>ij</w:t>
      </w:r>
      <w:r w:rsidR="00487529" w:rsidRPr="001030F5">
        <w:rPr>
          <w:rFonts w:ascii="Arial" w:hAnsi="Arial" w:cs="Arial"/>
          <w:sz w:val="28"/>
          <w:szCs w:val="28"/>
          <w:lang w:val="en-GB"/>
        </w:rPr>
        <w:t xml:space="preserve"> </w:t>
      </w:r>
      <w:r w:rsidR="00CD066D" w:rsidRPr="001030F5">
        <w:rPr>
          <w:rFonts w:ascii="Arial" w:hAnsi="Arial" w:cs="Arial"/>
          <w:sz w:val="28"/>
          <w:szCs w:val="28"/>
          <w:lang w:val="en-GB"/>
        </w:rPr>
        <w:t>–</w:t>
      </w:r>
      <w:r w:rsidR="00487529" w:rsidRPr="001030F5">
        <w:rPr>
          <w:rFonts w:ascii="Arial" w:hAnsi="Arial" w:cs="Arial"/>
          <w:sz w:val="28"/>
          <w:szCs w:val="28"/>
          <w:lang w:val="en-GB"/>
        </w:rPr>
        <w:t xml:space="preserve"> </w:t>
      </w:r>
      <w:r w:rsidR="00C840F8" w:rsidRPr="001030F5">
        <w:rPr>
          <w:rFonts w:ascii="Arial" w:hAnsi="Arial" w:cs="Arial"/>
          <w:sz w:val="28"/>
          <w:szCs w:val="28"/>
          <w:lang w:val="en-GB"/>
        </w:rPr>
        <w:t xml:space="preserve">is the weight of indicator </w:t>
      </w:r>
      <w:r w:rsidR="00487529" w:rsidRPr="001030F5">
        <w:rPr>
          <w:rFonts w:ascii="Arial" w:hAnsi="Arial" w:cs="Arial"/>
          <w:i/>
          <w:iCs/>
          <w:sz w:val="28"/>
          <w:szCs w:val="28"/>
          <w:lang w:val="en-GB"/>
        </w:rPr>
        <w:t>i</w:t>
      </w:r>
      <w:r w:rsidR="00487529" w:rsidRPr="001030F5">
        <w:rPr>
          <w:rFonts w:ascii="Arial" w:hAnsi="Arial" w:cs="Arial"/>
          <w:sz w:val="28"/>
          <w:szCs w:val="28"/>
          <w:lang w:val="en-GB"/>
        </w:rPr>
        <w:t xml:space="preserve"> </w:t>
      </w:r>
      <w:r w:rsidR="00C840F8" w:rsidRPr="001030F5">
        <w:rPr>
          <w:rFonts w:ascii="Arial" w:hAnsi="Arial" w:cs="Arial"/>
          <w:sz w:val="28"/>
          <w:szCs w:val="28"/>
          <w:lang w:val="en-GB"/>
        </w:rPr>
        <w:t xml:space="preserve">in pillar </w:t>
      </w:r>
      <w:r w:rsidR="00487529" w:rsidRPr="001030F5">
        <w:rPr>
          <w:rFonts w:ascii="Arial" w:hAnsi="Arial" w:cs="Arial"/>
          <w:i/>
          <w:iCs/>
          <w:sz w:val="28"/>
          <w:szCs w:val="28"/>
          <w:lang w:val="en-GB"/>
        </w:rPr>
        <w:t>j</w:t>
      </w:r>
      <w:r w:rsidR="00487529" w:rsidRPr="001030F5">
        <w:rPr>
          <w:rFonts w:ascii="Arial" w:hAnsi="Arial" w:cs="Arial"/>
          <w:sz w:val="28"/>
          <w:szCs w:val="28"/>
          <w:lang w:val="en-GB"/>
        </w:rPr>
        <w:t xml:space="preserve">, </w:t>
      </w:r>
      <w:r w:rsidR="00C840F8" w:rsidRPr="001030F5">
        <w:rPr>
          <w:rFonts w:ascii="Arial" w:hAnsi="Arial" w:cs="Arial"/>
          <w:sz w:val="28"/>
          <w:szCs w:val="28"/>
          <w:lang w:val="en-GB"/>
        </w:rPr>
        <w:t>defined by Sections</w:t>
      </w:r>
      <w:r w:rsidR="00C520F5" w:rsidRPr="001030F5">
        <w:rPr>
          <w:rFonts w:ascii="Arial" w:hAnsi="Arial" w:cs="Arial"/>
          <w:sz w:val="28"/>
          <w:szCs w:val="28"/>
          <w:lang w:val="en-GB"/>
        </w:rPr>
        <w:t xml:space="preserve"> </w:t>
      </w:r>
      <w:r w:rsidR="00D441B3" w:rsidRPr="001030F5">
        <w:rPr>
          <w:rFonts w:ascii="Arial" w:hAnsi="Arial" w:cs="Arial"/>
          <w:sz w:val="28"/>
          <w:szCs w:val="28"/>
          <w:lang w:val="en-GB"/>
        </w:rPr>
        <w:t>2</w:t>
      </w:r>
      <w:r w:rsidR="0067571D" w:rsidRPr="001030F5">
        <w:rPr>
          <w:rFonts w:ascii="Arial" w:hAnsi="Arial" w:cs="Arial"/>
          <w:sz w:val="28"/>
          <w:szCs w:val="28"/>
          <w:lang w:val="en-GB"/>
        </w:rPr>
        <w:t>0</w:t>
      </w:r>
      <w:r w:rsidR="00C840F8" w:rsidRPr="001030F5">
        <w:rPr>
          <w:rFonts w:ascii="Arial" w:hAnsi="Arial" w:cs="Arial"/>
          <w:sz w:val="28"/>
          <w:szCs w:val="28"/>
          <w:lang w:val="en-GB"/>
        </w:rPr>
        <w:t xml:space="preserve"> to</w:t>
      </w:r>
      <w:r w:rsidR="00D441B3" w:rsidRPr="001030F5">
        <w:rPr>
          <w:rFonts w:ascii="Arial" w:hAnsi="Arial" w:cs="Arial"/>
          <w:sz w:val="28"/>
          <w:szCs w:val="28"/>
          <w:lang w:val="en-GB"/>
        </w:rPr>
        <w:t xml:space="preserve"> 2</w:t>
      </w:r>
      <w:r w:rsidR="0067571D" w:rsidRPr="001030F5">
        <w:rPr>
          <w:rFonts w:ascii="Arial" w:hAnsi="Arial" w:cs="Arial"/>
          <w:sz w:val="28"/>
          <w:szCs w:val="28"/>
          <w:lang w:val="en-GB"/>
        </w:rPr>
        <w:t>3</w:t>
      </w:r>
      <w:r w:rsidR="00C840F8" w:rsidRPr="001030F5">
        <w:rPr>
          <w:rFonts w:ascii="Arial" w:hAnsi="Arial" w:cs="Arial"/>
          <w:sz w:val="28"/>
          <w:szCs w:val="28"/>
          <w:lang w:val="en-GB"/>
        </w:rPr>
        <w:t xml:space="preserve"> of this Decision;</w:t>
      </w:r>
    </w:p>
    <w:p w14:paraId="11AECC8C" w14:textId="6E35CBC0" w:rsidR="00487529" w:rsidRPr="001030F5" w:rsidRDefault="00487529" w:rsidP="00DF00F1">
      <w:pPr>
        <w:widowControl w:val="0"/>
        <w:spacing w:after="0" w:line="240" w:lineRule="auto"/>
        <w:jc w:val="both"/>
        <w:rPr>
          <w:rFonts w:ascii="Arial" w:hAnsi="Arial" w:cs="Arial"/>
          <w:sz w:val="28"/>
          <w:szCs w:val="28"/>
          <w:lang w:val="en-GB"/>
        </w:rPr>
      </w:pPr>
      <w:r w:rsidRPr="001030F5">
        <w:rPr>
          <w:rFonts w:ascii="Arial" w:hAnsi="Arial" w:cs="Arial"/>
          <w:b/>
          <w:bCs/>
          <w:i/>
          <w:iCs/>
          <w:sz w:val="28"/>
          <w:szCs w:val="28"/>
          <w:lang w:val="en-GB"/>
        </w:rPr>
        <w:lastRenderedPageBreak/>
        <w:t>N</w:t>
      </w:r>
      <w:r w:rsidR="009C5E36" w:rsidRPr="001030F5">
        <w:rPr>
          <w:rFonts w:ascii="Arial" w:hAnsi="Arial" w:cs="Arial"/>
          <w:b/>
          <w:bCs/>
          <w:i/>
          <w:iCs/>
          <w:sz w:val="28"/>
          <w:szCs w:val="28"/>
          <w:vertAlign w:val="subscript"/>
          <w:lang w:val="en-GB"/>
        </w:rPr>
        <w:t>j</w:t>
      </w:r>
      <w:r w:rsidRPr="001030F5">
        <w:rPr>
          <w:rFonts w:ascii="Arial" w:hAnsi="Arial" w:cs="Arial"/>
          <w:sz w:val="28"/>
          <w:szCs w:val="28"/>
          <w:lang w:val="en-GB"/>
        </w:rPr>
        <w:t xml:space="preserve"> </w:t>
      </w:r>
      <w:r w:rsidR="00CD066D" w:rsidRPr="001030F5">
        <w:rPr>
          <w:rFonts w:ascii="Arial" w:hAnsi="Arial" w:cs="Arial"/>
          <w:sz w:val="28"/>
          <w:szCs w:val="28"/>
          <w:lang w:val="en-GB"/>
        </w:rPr>
        <w:t xml:space="preserve">– </w:t>
      </w:r>
      <w:r w:rsidR="00C840F8" w:rsidRPr="001030F5">
        <w:rPr>
          <w:rFonts w:ascii="Arial" w:hAnsi="Arial" w:cs="Arial"/>
          <w:sz w:val="28"/>
          <w:szCs w:val="28"/>
          <w:lang w:val="en-GB"/>
        </w:rPr>
        <w:t xml:space="preserve">number of indicators within pillar </w:t>
      </w:r>
      <w:r w:rsidRPr="001030F5">
        <w:rPr>
          <w:rFonts w:ascii="Arial" w:hAnsi="Arial" w:cs="Arial"/>
          <w:i/>
          <w:iCs/>
          <w:sz w:val="28"/>
          <w:szCs w:val="28"/>
          <w:lang w:val="en-GB"/>
        </w:rPr>
        <w:t>j</w:t>
      </w:r>
      <w:r w:rsidRPr="001030F5">
        <w:rPr>
          <w:rFonts w:ascii="Arial" w:hAnsi="Arial" w:cs="Arial"/>
          <w:sz w:val="28"/>
          <w:szCs w:val="28"/>
          <w:lang w:val="en-GB"/>
        </w:rPr>
        <w:t>.</w:t>
      </w:r>
    </w:p>
    <w:p w14:paraId="79E9C0F7" w14:textId="77777777" w:rsidR="00487529" w:rsidRPr="001030F5" w:rsidRDefault="00487529" w:rsidP="00DF00F1">
      <w:pPr>
        <w:spacing w:after="0" w:line="240" w:lineRule="auto"/>
        <w:jc w:val="both"/>
        <w:rPr>
          <w:rFonts w:ascii="Arial" w:hAnsi="Arial" w:cs="Arial"/>
          <w:sz w:val="28"/>
          <w:szCs w:val="28"/>
          <w:lang w:val="en-GB"/>
        </w:rPr>
      </w:pPr>
    </w:p>
    <w:p w14:paraId="748E3423" w14:textId="041473FD" w:rsidR="0048091D" w:rsidRPr="001030F5" w:rsidRDefault="0048091D" w:rsidP="001916BF">
      <w:pPr>
        <w:spacing w:after="0" w:line="240" w:lineRule="auto"/>
        <w:jc w:val="both"/>
        <w:rPr>
          <w:rFonts w:ascii="Arial" w:hAnsi="Arial" w:cs="Arial"/>
          <w:sz w:val="28"/>
          <w:szCs w:val="28"/>
          <w:lang w:val="en-GB"/>
        </w:rPr>
      </w:pPr>
      <w:r w:rsidRPr="001030F5">
        <w:rPr>
          <w:rFonts w:ascii="Arial" w:hAnsi="Arial" w:cs="Arial"/>
          <w:bCs/>
          <w:color w:val="1A1617"/>
          <w:sz w:val="28"/>
          <w:szCs w:val="28"/>
          <w:lang w:val="en-GB"/>
        </w:rPr>
        <w:tab/>
      </w:r>
      <w:r w:rsidR="006235F3" w:rsidRPr="001030F5">
        <w:rPr>
          <w:rFonts w:ascii="Arial" w:hAnsi="Arial" w:cs="Arial"/>
          <w:bCs/>
          <w:color w:val="1A1617"/>
          <w:sz w:val="28"/>
          <w:szCs w:val="28"/>
          <w:lang w:val="en-GB"/>
        </w:rPr>
        <w:t>9</w:t>
      </w:r>
      <w:r w:rsidRPr="001030F5">
        <w:rPr>
          <w:rFonts w:ascii="Arial" w:hAnsi="Arial" w:cs="Arial"/>
          <w:bCs/>
          <w:color w:val="1A1617"/>
          <w:sz w:val="28"/>
          <w:szCs w:val="28"/>
          <w:lang w:val="en-GB"/>
        </w:rPr>
        <w:t>.</w:t>
      </w:r>
      <w:r w:rsidRPr="001030F5">
        <w:rPr>
          <w:rFonts w:ascii="Arial" w:hAnsi="Arial" w:cs="Arial"/>
          <w:bCs/>
          <w:color w:val="1A1617"/>
          <w:sz w:val="28"/>
          <w:szCs w:val="28"/>
          <w:lang w:val="en-GB"/>
        </w:rPr>
        <w:tab/>
      </w:r>
      <w:r w:rsidR="001916BF" w:rsidRPr="001030F5">
        <w:rPr>
          <w:rFonts w:ascii="Arial" w:hAnsi="Arial" w:cs="Arial"/>
          <w:sz w:val="28"/>
          <w:szCs w:val="28"/>
          <w:lang w:val="en-GB"/>
        </w:rPr>
        <w:t>In order to compute the composite indicator, risk pillars</w:t>
      </w:r>
      <w:r w:rsidR="00487529" w:rsidRPr="001030F5">
        <w:rPr>
          <w:rFonts w:ascii="Arial" w:hAnsi="Arial" w:cs="Arial"/>
          <w:sz w:val="28"/>
          <w:szCs w:val="28"/>
          <w:lang w:val="en-GB"/>
        </w:rPr>
        <w:t xml:space="preserve"> </w:t>
      </w:r>
      <w:r w:rsidR="002E19EA" w:rsidRPr="001030F5">
        <w:rPr>
          <w:rFonts w:ascii="Arial" w:hAnsi="Arial" w:cs="Arial"/>
          <w:i/>
          <w:iCs/>
          <w:sz w:val="28"/>
          <w:szCs w:val="28"/>
          <w:lang w:val="en-GB"/>
        </w:rPr>
        <w:t>ј</w:t>
      </w:r>
      <w:r w:rsidR="002E19EA" w:rsidRPr="001030F5">
        <w:rPr>
          <w:rFonts w:ascii="Arial" w:hAnsi="Arial" w:cs="Arial"/>
          <w:sz w:val="28"/>
          <w:szCs w:val="28"/>
          <w:lang w:val="en-GB"/>
        </w:rPr>
        <w:t xml:space="preserve"> </w:t>
      </w:r>
      <w:r w:rsidR="001916BF" w:rsidRPr="001030F5">
        <w:rPr>
          <w:rFonts w:ascii="Arial" w:hAnsi="Arial" w:cs="Arial"/>
          <w:sz w:val="28"/>
          <w:szCs w:val="28"/>
          <w:lang w:val="en-GB"/>
        </w:rPr>
        <w:t>shall be aggregated</w:t>
      </w:r>
      <w:r w:rsidR="00CD066D" w:rsidRPr="001030F5">
        <w:rPr>
          <w:rFonts w:ascii="Arial" w:hAnsi="Arial" w:cs="Arial"/>
          <w:sz w:val="28"/>
          <w:szCs w:val="28"/>
          <w:lang w:val="en-GB"/>
        </w:rPr>
        <w:t xml:space="preserve"> </w:t>
      </w:r>
      <w:r w:rsidR="001916BF" w:rsidRPr="001030F5">
        <w:rPr>
          <w:rFonts w:ascii="Arial" w:hAnsi="Arial" w:cs="Arial"/>
          <w:sz w:val="28"/>
          <w:szCs w:val="28"/>
          <w:lang w:val="en-GB"/>
        </w:rPr>
        <w:t xml:space="preserve">through a </w:t>
      </w:r>
      <w:r w:rsidR="001030F5" w:rsidRPr="001030F5">
        <w:rPr>
          <w:rFonts w:ascii="Arial" w:hAnsi="Arial" w:cs="Arial"/>
          <w:sz w:val="28"/>
          <w:szCs w:val="28"/>
          <w:lang w:val="en-GB"/>
        </w:rPr>
        <w:t>weighted</w:t>
      </w:r>
      <w:r w:rsidR="001916BF" w:rsidRPr="001030F5">
        <w:rPr>
          <w:rFonts w:ascii="Arial" w:hAnsi="Arial" w:cs="Arial"/>
          <w:sz w:val="28"/>
          <w:szCs w:val="28"/>
          <w:lang w:val="en-GB"/>
        </w:rPr>
        <w:t xml:space="preserve"> geometric average by applying the following formula</w:t>
      </w:r>
      <w:r w:rsidR="002E19EA" w:rsidRPr="001030F5">
        <w:rPr>
          <w:rFonts w:ascii="Arial" w:hAnsi="Arial" w:cs="Arial"/>
          <w:sz w:val="28"/>
          <w:szCs w:val="28"/>
          <w:lang w:val="en-GB"/>
        </w:rPr>
        <w:t>:</w:t>
      </w:r>
    </w:p>
    <w:p w14:paraId="0E7315CF" w14:textId="653AA915" w:rsidR="002E19EA" w:rsidRPr="001030F5" w:rsidRDefault="00C809AA" w:rsidP="00DF00F1">
      <w:pPr>
        <w:widowControl w:val="0"/>
        <w:spacing w:after="0" w:line="240" w:lineRule="auto"/>
        <w:rPr>
          <w:rFonts w:ascii="Arial" w:hAnsi="Arial" w:cs="Arial"/>
          <w:sz w:val="28"/>
          <w:szCs w:val="28"/>
          <w:lang w:val="en-GB"/>
        </w:rPr>
      </w:pPr>
      <w:r w:rsidRPr="001030F5">
        <w:rPr>
          <w:rFonts w:ascii="Arial" w:hAnsi="Arial" w:cs="Arial"/>
          <w:noProof/>
          <w:sz w:val="28"/>
          <w:szCs w:val="28"/>
          <w:lang w:val="en-GB"/>
        </w:rPr>
        <w:drawing>
          <wp:inline distT="0" distB="0" distL="0" distR="0" wp14:anchorId="4C40BE09" wp14:editId="3953F715">
            <wp:extent cx="5760720" cy="384175"/>
            <wp:effectExtent l="0" t="0" r="0" b="0"/>
            <wp:docPr id="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60720" cy="384175"/>
                    </a:xfrm>
                    <a:prstGeom prst="rect">
                      <a:avLst/>
                    </a:prstGeom>
                    <a:noFill/>
                    <a:ln>
                      <a:noFill/>
                    </a:ln>
                  </pic:spPr>
                </pic:pic>
              </a:graphicData>
            </a:graphic>
          </wp:inline>
        </w:drawing>
      </w:r>
    </w:p>
    <w:p w14:paraId="701859AC" w14:textId="77777777" w:rsidR="0048091D" w:rsidRPr="001030F5" w:rsidRDefault="0048091D" w:rsidP="00DF00F1">
      <w:pPr>
        <w:widowControl w:val="0"/>
        <w:spacing w:after="0" w:line="240" w:lineRule="auto"/>
        <w:jc w:val="both"/>
        <w:rPr>
          <w:rFonts w:ascii="Arial" w:hAnsi="Arial" w:cs="Arial"/>
          <w:sz w:val="28"/>
          <w:szCs w:val="28"/>
          <w:lang w:val="en-GB"/>
        </w:rPr>
      </w:pPr>
    </w:p>
    <w:p w14:paraId="71351384" w14:textId="76E78698" w:rsidR="002E19EA" w:rsidRPr="001030F5" w:rsidRDefault="001916BF" w:rsidP="00DF00F1">
      <w:pPr>
        <w:widowControl w:val="0"/>
        <w:spacing w:after="0" w:line="240" w:lineRule="auto"/>
        <w:jc w:val="both"/>
        <w:rPr>
          <w:rFonts w:ascii="Arial" w:hAnsi="Arial" w:cs="Arial"/>
          <w:sz w:val="28"/>
          <w:szCs w:val="28"/>
          <w:lang w:val="en-GB"/>
        </w:rPr>
      </w:pPr>
      <w:r w:rsidRPr="001030F5">
        <w:rPr>
          <w:rFonts w:ascii="Arial" w:hAnsi="Arial" w:cs="Arial"/>
          <w:sz w:val="28"/>
          <w:szCs w:val="28"/>
          <w:lang w:val="en-GB"/>
        </w:rPr>
        <w:t>where:</w:t>
      </w:r>
    </w:p>
    <w:p w14:paraId="1C3AAEDC" w14:textId="77777777" w:rsidR="0048091D" w:rsidRPr="001030F5" w:rsidRDefault="0048091D" w:rsidP="00DF00F1">
      <w:pPr>
        <w:widowControl w:val="0"/>
        <w:spacing w:after="0" w:line="240" w:lineRule="auto"/>
        <w:jc w:val="both"/>
        <w:rPr>
          <w:rFonts w:ascii="Arial" w:hAnsi="Arial" w:cs="Arial"/>
          <w:sz w:val="28"/>
          <w:szCs w:val="28"/>
          <w:lang w:val="en-GB"/>
        </w:rPr>
      </w:pPr>
    </w:p>
    <w:p w14:paraId="002CD141" w14:textId="6F95B8CC" w:rsidR="001916BF" w:rsidRPr="001030F5" w:rsidRDefault="002E19EA" w:rsidP="00DF00F1">
      <w:pPr>
        <w:widowControl w:val="0"/>
        <w:spacing w:after="0" w:line="240" w:lineRule="auto"/>
        <w:jc w:val="both"/>
        <w:rPr>
          <w:rFonts w:ascii="Arial" w:hAnsi="Arial" w:cs="Arial"/>
          <w:sz w:val="28"/>
          <w:szCs w:val="28"/>
          <w:lang w:val="en-GB"/>
        </w:rPr>
      </w:pPr>
      <w:r w:rsidRPr="001030F5">
        <w:rPr>
          <w:rFonts w:ascii="Arial" w:hAnsi="Arial" w:cs="Arial"/>
          <w:sz w:val="28"/>
          <w:szCs w:val="28"/>
          <w:lang w:val="en-GB"/>
        </w:rPr>
        <w:t>W</w:t>
      </w:r>
      <w:r w:rsidRPr="001030F5">
        <w:rPr>
          <w:rFonts w:ascii="Arial" w:hAnsi="Arial" w:cs="Arial"/>
          <w:sz w:val="28"/>
          <w:szCs w:val="28"/>
          <w:vertAlign w:val="subscript"/>
          <w:lang w:val="en-GB"/>
        </w:rPr>
        <w:t>j</w:t>
      </w:r>
      <w:r w:rsidR="00CD066D" w:rsidRPr="001030F5">
        <w:rPr>
          <w:rFonts w:ascii="Arial" w:hAnsi="Arial" w:cs="Arial"/>
          <w:sz w:val="28"/>
          <w:szCs w:val="28"/>
          <w:lang w:val="en-GB"/>
        </w:rPr>
        <w:t xml:space="preserve"> –</w:t>
      </w:r>
      <w:r w:rsidR="001916BF" w:rsidRPr="001030F5">
        <w:rPr>
          <w:rFonts w:ascii="Arial" w:hAnsi="Arial" w:cs="Arial"/>
          <w:sz w:val="28"/>
          <w:szCs w:val="28"/>
          <w:lang w:val="en-GB"/>
        </w:rPr>
        <w:t xml:space="preserve"> is the weight of the risk pillar, as defined by Section 19 of this Decision and</w:t>
      </w:r>
    </w:p>
    <w:p w14:paraId="10F9D397" w14:textId="52F3F523" w:rsidR="002E19EA" w:rsidRPr="001030F5" w:rsidRDefault="002E19EA" w:rsidP="00DF00F1">
      <w:pPr>
        <w:widowControl w:val="0"/>
        <w:spacing w:after="0" w:line="240" w:lineRule="auto"/>
        <w:jc w:val="both"/>
        <w:rPr>
          <w:rFonts w:ascii="Arial" w:hAnsi="Arial" w:cs="Arial"/>
          <w:sz w:val="28"/>
          <w:szCs w:val="28"/>
          <w:lang w:val="en-GB"/>
        </w:rPr>
      </w:pPr>
      <w:r w:rsidRPr="001030F5">
        <w:rPr>
          <w:rFonts w:ascii="Arial" w:hAnsi="Arial" w:cs="Arial"/>
          <w:sz w:val="28"/>
          <w:szCs w:val="28"/>
          <w:lang w:val="en-GB"/>
        </w:rPr>
        <w:t>J</w:t>
      </w:r>
      <w:r w:rsidR="00CD066D" w:rsidRPr="001030F5">
        <w:rPr>
          <w:rFonts w:ascii="Arial" w:hAnsi="Arial" w:cs="Arial"/>
          <w:sz w:val="28"/>
          <w:szCs w:val="28"/>
          <w:lang w:val="en-GB"/>
        </w:rPr>
        <w:t xml:space="preserve"> – </w:t>
      </w:r>
      <w:r w:rsidR="001916BF" w:rsidRPr="001030F5">
        <w:rPr>
          <w:rFonts w:ascii="Arial" w:hAnsi="Arial" w:cs="Arial"/>
          <w:sz w:val="28"/>
          <w:szCs w:val="28"/>
          <w:lang w:val="en-GB"/>
        </w:rPr>
        <w:t>is the number of risk pillars</w:t>
      </w:r>
      <w:r w:rsidRPr="001030F5">
        <w:rPr>
          <w:rFonts w:ascii="Arial" w:hAnsi="Arial" w:cs="Arial"/>
          <w:sz w:val="28"/>
          <w:szCs w:val="28"/>
          <w:lang w:val="en-GB"/>
        </w:rPr>
        <w:t>.</w:t>
      </w:r>
    </w:p>
    <w:p w14:paraId="5B371076" w14:textId="77777777" w:rsidR="002E19EA" w:rsidRPr="001030F5" w:rsidRDefault="002E19EA" w:rsidP="00DF00F1">
      <w:pPr>
        <w:widowControl w:val="0"/>
        <w:spacing w:after="0" w:line="240" w:lineRule="auto"/>
        <w:jc w:val="both"/>
        <w:rPr>
          <w:rFonts w:ascii="Arial" w:hAnsi="Arial" w:cs="Arial"/>
          <w:sz w:val="28"/>
          <w:szCs w:val="28"/>
          <w:lang w:val="en-GB"/>
        </w:rPr>
      </w:pPr>
    </w:p>
    <w:p w14:paraId="6A7F5914" w14:textId="039BCE5F" w:rsidR="002E19EA" w:rsidRPr="001030F5" w:rsidRDefault="0048091D" w:rsidP="00DF00F1">
      <w:pPr>
        <w:widowControl w:val="0"/>
        <w:spacing w:after="0" w:line="240" w:lineRule="auto"/>
        <w:jc w:val="both"/>
        <w:rPr>
          <w:rFonts w:ascii="Arial" w:hAnsi="Arial" w:cs="Arial"/>
          <w:sz w:val="28"/>
          <w:szCs w:val="28"/>
          <w:lang w:val="en-GB"/>
        </w:rPr>
      </w:pPr>
      <w:r w:rsidRPr="001030F5">
        <w:rPr>
          <w:rFonts w:ascii="Arial" w:hAnsi="Arial" w:cs="Arial"/>
          <w:bCs/>
          <w:color w:val="1A1617"/>
          <w:sz w:val="28"/>
          <w:szCs w:val="28"/>
          <w:lang w:val="en-GB"/>
        </w:rPr>
        <w:tab/>
        <w:t>1</w:t>
      </w:r>
      <w:r w:rsidR="006235F3" w:rsidRPr="001030F5">
        <w:rPr>
          <w:rFonts w:ascii="Arial" w:hAnsi="Arial" w:cs="Arial"/>
          <w:bCs/>
          <w:color w:val="1A1617"/>
          <w:sz w:val="28"/>
          <w:szCs w:val="28"/>
          <w:lang w:val="en-GB"/>
        </w:rPr>
        <w:t>0</w:t>
      </w:r>
      <w:r w:rsidRPr="001030F5">
        <w:rPr>
          <w:rFonts w:ascii="Arial" w:hAnsi="Arial" w:cs="Arial"/>
          <w:bCs/>
          <w:color w:val="1A1617"/>
          <w:sz w:val="28"/>
          <w:szCs w:val="28"/>
          <w:lang w:val="en-GB"/>
        </w:rPr>
        <w:t>.</w:t>
      </w:r>
      <w:r w:rsidRPr="001030F5">
        <w:rPr>
          <w:rFonts w:ascii="Arial" w:hAnsi="Arial" w:cs="Arial"/>
          <w:bCs/>
          <w:color w:val="1A1617"/>
          <w:sz w:val="28"/>
          <w:szCs w:val="28"/>
          <w:lang w:val="en-GB"/>
        </w:rPr>
        <w:tab/>
      </w:r>
      <w:r w:rsidR="001916BF" w:rsidRPr="001030F5">
        <w:rPr>
          <w:rFonts w:ascii="Arial" w:hAnsi="Arial" w:cs="Arial"/>
          <w:bCs/>
          <w:color w:val="1A1617"/>
          <w:sz w:val="28"/>
          <w:szCs w:val="28"/>
          <w:lang w:val="en-GB"/>
        </w:rPr>
        <w:t>In order for the final composite indicator to be defined as taking higher values for institutions with higher risk profiles, the following transformation shall apply</w:t>
      </w:r>
      <w:r w:rsidR="002E19EA" w:rsidRPr="001030F5">
        <w:rPr>
          <w:rFonts w:ascii="Arial" w:hAnsi="Arial" w:cs="Arial"/>
          <w:sz w:val="28"/>
          <w:szCs w:val="28"/>
          <w:lang w:val="en-GB"/>
        </w:rPr>
        <w:t>:</w:t>
      </w:r>
    </w:p>
    <w:p w14:paraId="57B9E570" w14:textId="1CC46ECE" w:rsidR="002E19EA" w:rsidRPr="001030F5" w:rsidRDefault="00C809AA" w:rsidP="00DF00F1">
      <w:pPr>
        <w:widowControl w:val="0"/>
        <w:spacing w:after="0" w:line="240" w:lineRule="auto"/>
        <w:jc w:val="center"/>
        <w:rPr>
          <w:rFonts w:ascii="Arial" w:hAnsi="Arial" w:cs="Arial"/>
          <w:sz w:val="28"/>
          <w:szCs w:val="28"/>
          <w:lang w:val="en-GB"/>
        </w:rPr>
      </w:pPr>
      <w:r w:rsidRPr="001030F5">
        <w:rPr>
          <w:rFonts w:ascii="Arial" w:hAnsi="Arial" w:cs="Arial"/>
          <w:noProof/>
          <w:sz w:val="28"/>
          <w:szCs w:val="28"/>
          <w:lang w:val="en-GB"/>
        </w:rPr>
        <w:drawing>
          <wp:inline distT="0" distB="0" distL="0" distR="0" wp14:anchorId="6AC72CD1" wp14:editId="458BBC52">
            <wp:extent cx="5760720" cy="316865"/>
            <wp:effectExtent l="0" t="0" r="0" b="0"/>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60720" cy="316865"/>
                    </a:xfrm>
                    <a:prstGeom prst="rect">
                      <a:avLst/>
                    </a:prstGeom>
                    <a:noFill/>
                    <a:ln>
                      <a:noFill/>
                    </a:ln>
                  </pic:spPr>
                </pic:pic>
              </a:graphicData>
            </a:graphic>
          </wp:inline>
        </w:drawing>
      </w:r>
    </w:p>
    <w:p w14:paraId="11A3F027" w14:textId="77777777" w:rsidR="002E19EA" w:rsidRPr="001030F5" w:rsidRDefault="002E19EA" w:rsidP="00DF00F1">
      <w:pPr>
        <w:widowControl w:val="0"/>
        <w:spacing w:after="0" w:line="240" w:lineRule="auto"/>
        <w:jc w:val="both"/>
        <w:rPr>
          <w:rFonts w:ascii="Arial" w:hAnsi="Arial" w:cs="Arial"/>
          <w:sz w:val="28"/>
          <w:szCs w:val="28"/>
          <w:lang w:val="en-GB"/>
        </w:rPr>
      </w:pPr>
    </w:p>
    <w:p w14:paraId="5940C250" w14:textId="4A20BA4C" w:rsidR="002E19EA" w:rsidRPr="001030F5" w:rsidRDefault="001916BF" w:rsidP="00DF00F1">
      <w:pPr>
        <w:widowControl w:val="0"/>
        <w:numPr>
          <w:ilvl w:val="0"/>
          <w:numId w:val="3"/>
        </w:numPr>
        <w:spacing w:after="0" w:line="240" w:lineRule="auto"/>
        <w:ind w:left="0" w:firstLine="0"/>
        <w:jc w:val="center"/>
        <w:rPr>
          <w:rFonts w:ascii="Arial" w:hAnsi="Arial" w:cs="Arial"/>
          <w:b/>
          <w:color w:val="1A1617"/>
          <w:sz w:val="28"/>
          <w:szCs w:val="28"/>
          <w:lang w:val="en-GB"/>
        </w:rPr>
      </w:pPr>
      <w:r w:rsidRPr="001030F5">
        <w:rPr>
          <w:rFonts w:ascii="Arial" w:hAnsi="Arial" w:cs="Arial"/>
          <w:b/>
          <w:color w:val="1A1617"/>
          <w:sz w:val="28"/>
          <w:szCs w:val="28"/>
          <w:lang w:val="en-GB"/>
        </w:rPr>
        <w:t>Calculation of the annual contributions</w:t>
      </w:r>
    </w:p>
    <w:p w14:paraId="246B4F1B" w14:textId="77777777" w:rsidR="002E19EA" w:rsidRPr="001030F5" w:rsidRDefault="002E19EA" w:rsidP="00DF00F1">
      <w:pPr>
        <w:widowControl w:val="0"/>
        <w:spacing w:after="0" w:line="240" w:lineRule="auto"/>
        <w:jc w:val="center"/>
        <w:rPr>
          <w:rFonts w:ascii="Arial" w:hAnsi="Arial" w:cs="Arial"/>
          <w:sz w:val="28"/>
          <w:szCs w:val="28"/>
          <w:lang w:val="en-GB"/>
        </w:rPr>
      </w:pPr>
    </w:p>
    <w:p w14:paraId="56E474C6" w14:textId="77777777" w:rsidR="001916BF" w:rsidRPr="001030F5" w:rsidRDefault="0048091D" w:rsidP="00DF00F1">
      <w:pPr>
        <w:widowControl w:val="0"/>
        <w:spacing w:after="0" w:line="240" w:lineRule="auto"/>
        <w:jc w:val="both"/>
        <w:rPr>
          <w:rFonts w:ascii="Arial" w:hAnsi="Arial" w:cs="Arial"/>
          <w:sz w:val="28"/>
          <w:szCs w:val="28"/>
          <w:lang w:val="en-GB"/>
        </w:rPr>
      </w:pPr>
      <w:r w:rsidRPr="001030F5">
        <w:rPr>
          <w:rFonts w:ascii="Arial" w:hAnsi="Arial" w:cs="Arial"/>
          <w:bCs/>
          <w:color w:val="1A1617"/>
          <w:sz w:val="28"/>
          <w:szCs w:val="28"/>
          <w:lang w:val="en-GB"/>
        </w:rPr>
        <w:tab/>
        <w:t>1</w:t>
      </w:r>
      <w:r w:rsidR="006235F3" w:rsidRPr="001030F5">
        <w:rPr>
          <w:rFonts w:ascii="Arial" w:hAnsi="Arial" w:cs="Arial"/>
          <w:bCs/>
          <w:color w:val="1A1617"/>
          <w:sz w:val="28"/>
          <w:szCs w:val="28"/>
          <w:lang w:val="en-GB"/>
        </w:rPr>
        <w:t>1</w:t>
      </w:r>
      <w:r w:rsidRPr="001030F5">
        <w:rPr>
          <w:rFonts w:ascii="Arial" w:hAnsi="Arial" w:cs="Arial"/>
          <w:bCs/>
          <w:color w:val="1A1617"/>
          <w:sz w:val="28"/>
          <w:szCs w:val="28"/>
          <w:lang w:val="en-GB"/>
        </w:rPr>
        <w:t>.</w:t>
      </w:r>
      <w:r w:rsidRPr="001030F5">
        <w:rPr>
          <w:rFonts w:ascii="Arial" w:hAnsi="Arial" w:cs="Arial"/>
          <w:bCs/>
          <w:color w:val="1A1617"/>
          <w:sz w:val="28"/>
          <w:szCs w:val="28"/>
          <w:lang w:val="en-GB"/>
        </w:rPr>
        <w:tab/>
      </w:r>
      <w:r w:rsidR="001916BF" w:rsidRPr="001030F5">
        <w:rPr>
          <w:rFonts w:ascii="Arial" w:hAnsi="Arial" w:cs="Arial"/>
          <w:sz w:val="28"/>
          <w:szCs w:val="28"/>
          <w:lang w:val="en-GB"/>
        </w:rPr>
        <w:t>The final composite indicator</w:t>
      </w:r>
      <w:r w:rsidR="002E19EA" w:rsidRPr="001030F5">
        <w:rPr>
          <w:rFonts w:ascii="Arial" w:hAnsi="Arial" w:cs="Arial"/>
          <w:sz w:val="28"/>
          <w:szCs w:val="28"/>
          <w:lang w:val="en-GB"/>
        </w:rPr>
        <w:t xml:space="preserve"> </w:t>
      </w:r>
      <w:r w:rsidR="00955056" w:rsidRPr="001030F5">
        <w:rPr>
          <w:rFonts w:ascii="Arial" w:hAnsi="Arial" w:cs="Arial"/>
          <w:sz w:val="28"/>
          <w:szCs w:val="28"/>
          <w:lang w:val="en-GB"/>
        </w:rPr>
        <w:t>(</w:t>
      </w:r>
      <w:r w:rsidR="002E19EA" w:rsidRPr="001030F5">
        <w:rPr>
          <w:rFonts w:ascii="Arial" w:hAnsi="Arial" w:cs="Arial"/>
          <w:b/>
          <w:bCs/>
          <w:i/>
          <w:iCs/>
          <w:sz w:val="28"/>
          <w:szCs w:val="28"/>
          <w:lang w:val="en-GB"/>
        </w:rPr>
        <w:t>FCI</w:t>
      </w:r>
      <w:r w:rsidR="002E19EA" w:rsidRPr="001030F5">
        <w:rPr>
          <w:rFonts w:ascii="Arial" w:hAnsi="Arial" w:cs="Arial"/>
          <w:b/>
          <w:bCs/>
          <w:i/>
          <w:iCs/>
          <w:sz w:val="28"/>
          <w:szCs w:val="28"/>
          <w:vertAlign w:val="subscript"/>
          <w:lang w:val="en-GB"/>
        </w:rPr>
        <w:t>n</w:t>
      </w:r>
      <w:r w:rsidR="00955056" w:rsidRPr="001030F5">
        <w:rPr>
          <w:rFonts w:ascii="Arial" w:hAnsi="Arial" w:cs="Arial"/>
          <w:sz w:val="28"/>
          <w:szCs w:val="28"/>
          <w:lang w:val="en-GB"/>
        </w:rPr>
        <w:t xml:space="preserve">), </w:t>
      </w:r>
      <w:r w:rsidR="001916BF" w:rsidRPr="001030F5">
        <w:rPr>
          <w:rFonts w:ascii="Arial" w:hAnsi="Arial" w:cs="Arial"/>
          <w:sz w:val="28"/>
          <w:szCs w:val="28"/>
          <w:lang w:val="en-GB"/>
        </w:rPr>
        <w:t>calculated in accordance with Section 5 of this Annex, shall be rescaled by applying the following formula:</w:t>
      </w:r>
    </w:p>
    <w:p w14:paraId="3190AFDF" w14:textId="77777777" w:rsidR="00117C2A" w:rsidRPr="001030F5" w:rsidRDefault="00117C2A" w:rsidP="00DF00F1">
      <w:pPr>
        <w:widowControl w:val="0"/>
        <w:spacing w:after="0" w:line="240" w:lineRule="auto"/>
        <w:jc w:val="both"/>
        <w:rPr>
          <w:rFonts w:ascii="Arial" w:hAnsi="Arial" w:cs="Arial"/>
          <w:sz w:val="28"/>
          <w:szCs w:val="28"/>
          <w:lang w:val="en-GB"/>
        </w:rPr>
      </w:pPr>
    </w:p>
    <w:p w14:paraId="16B7C340" w14:textId="50806B06" w:rsidR="00117C2A" w:rsidRPr="001030F5" w:rsidRDefault="00C809AA" w:rsidP="00DF00F1">
      <w:pPr>
        <w:widowControl w:val="0"/>
        <w:spacing w:after="0" w:line="240" w:lineRule="auto"/>
        <w:jc w:val="center"/>
        <w:rPr>
          <w:rFonts w:ascii="Arial" w:hAnsi="Arial" w:cs="Arial"/>
          <w:sz w:val="28"/>
          <w:szCs w:val="28"/>
          <w:lang w:val="en-GB"/>
        </w:rPr>
      </w:pPr>
      <w:r w:rsidRPr="001030F5">
        <w:rPr>
          <w:rFonts w:ascii="Arial" w:hAnsi="Arial" w:cs="Arial"/>
          <w:noProof/>
          <w:sz w:val="28"/>
          <w:szCs w:val="28"/>
          <w:lang w:val="en-GB"/>
        </w:rPr>
        <w:drawing>
          <wp:inline distT="0" distB="0" distL="0" distR="0" wp14:anchorId="760F4E0D" wp14:editId="23F6DCC6">
            <wp:extent cx="5760720" cy="597535"/>
            <wp:effectExtent l="0" t="0" r="0" b="0"/>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60720" cy="597535"/>
                    </a:xfrm>
                    <a:prstGeom prst="rect">
                      <a:avLst/>
                    </a:prstGeom>
                    <a:noFill/>
                    <a:ln>
                      <a:noFill/>
                    </a:ln>
                  </pic:spPr>
                </pic:pic>
              </a:graphicData>
            </a:graphic>
          </wp:inline>
        </w:drawing>
      </w:r>
    </w:p>
    <w:p w14:paraId="22CA1B6F" w14:textId="77777777" w:rsidR="00117C2A" w:rsidRPr="001030F5" w:rsidRDefault="00117C2A" w:rsidP="00DF00F1">
      <w:pPr>
        <w:widowControl w:val="0"/>
        <w:spacing w:after="0" w:line="240" w:lineRule="auto"/>
        <w:jc w:val="both"/>
        <w:rPr>
          <w:rFonts w:ascii="Arial" w:hAnsi="Arial" w:cs="Arial"/>
          <w:sz w:val="28"/>
          <w:szCs w:val="28"/>
          <w:lang w:val="en-GB"/>
        </w:rPr>
      </w:pPr>
    </w:p>
    <w:p w14:paraId="3E8B391B" w14:textId="216BDB0E" w:rsidR="002E19EA" w:rsidRPr="001030F5" w:rsidRDefault="001916BF" w:rsidP="00DF00F1">
      <w:pPr>
        <w:widowControl w:val="0"/>
        <w:spacing w:after="0" w:line="240" w:lineRule="auto"/>
        <w:jc w:val="both"/>
        <w:rPr>
          <w:rFonts w:ascii="Arial" w:hAnsi="Arial" w:cs="Arial"/>
          <w:sz w:val="28"/>
          <w:szCs w:val="28"/>
          <w:lang w:val="en-GB"/>
        </w:rPr>
      </w:pPr>
      <w:r w:rsidRPr="001030F5">
        <w:rPr>
          <w:rFonts w:ascii="Arial" w:hAnsi="Arial" w:cs="Arial"/>
          <w:sz w:val="28"/>
          <w:szCs w:val="28"/>
          <w:lang w:val="en-GB"/>
        </w:rPr>
        <w:t>where the arguments of the minimum and the maximum functions shall be the values of all banks contributing to the Fund, for which the final composite indicator is calculated.</w:t>
      </w:r>
    </w:p>
    <w:p w14:paraId="7E1A9B18" w14:textId="77777777" w:rsidR="00117C2A" w:rsidRPr="001030F5" w:rsidRDefault="00117C2A" w:rsidP="00DF00F1">
      <w:pPr>
        <w:widowControl w:val="0"/>
        <w:spacing w:after="0" w:line="240" w:lineRule="auto"/>
        <w:jc w:val="both"/>
        <w:rPr>
          <w:rFonts w:ascii="Arial" w:hAnsi="Arial" w:cs="Arial"/>
          <w:sz w:val="28"/>
          <w:szCs w:val="28"/>
          <w:lang w:val="en-GB"/>
        </w:rPr>
      </w:pPr>
    </w:p>
    <w:p w14:paraId="5DBCE333" w14:textId="7E06F9D8" w:rsidR="00117C2A" w:rsidRPr="001030F5" w:rsidRDefault="0048091D" w:rsidP="00DF00F1">
      <w:pPr>
        <w:widowControl w:val="0"/>
        <w:spacing w:after="0" w:line="240" w:lineRule="auto"/>
        <w:jc w:val="both"/>
        <w:rPr>
          <w:rFonts w:ascii="Arial" w:hAnsi="Arial" w:cs="Arial"/>
          <w:sz w:val="28"/>
          <w:szCs w:val="28"/>
          <w:lang w:val="en-GB"/>
        </w:rPr>
      </w:pPr>
      <w:r w:rsidRPr="001030F5">
        <w:rPr>
          <w:rFonts w:ascii="Arial" w:hAnsi="Arial" w:cs="Arial"/>
          <w:bCs/>
          <w:color w:val="1A1617"/>
          <w:sz w:val="28"/>
          <w:szCs w:val="28"/>
          <w:lang w:val="en-GB"/>
        </w:rPr>
        <w:tab/>
        <w:t>1</w:t>
      </w:r>
      <w:r w:rsidR="006235F3" w:rsidRPr="001030F5">
        <w:rPr>
          <w:rFonts w:ascii="Arial" w:hAnsi="Arial" w:cs="Arial"/>
          <w:bCs/>
          <w:color w:val="1A1617"/>
          <w:sz w:val="28"/>
          <w:szCs w:val="28"/>
          <w:lang w:val="en-GB"/>
        </w:rPr>
        <w:t>2</w:t>
      </w:r>
      <w:r w:rsidRPr="001030F5">
        <w:rPr>
          <w:rFonts w:ascii="Arial" w:hAnsi="Arial" w:cs="Arial"/>
          <w:bCs/>
          <w:color w:val="1A1617"/>
          <w:sz w:val="28"/>
          <w:szCs w:val="28"/>
          <w:lang w:val="en-GB"/>
        </w:rPr>
        <w:t>.</w:t>
      </w:r>
      <w:r w:rsidRPr="001030F5">
        <w:rPr>
          <w:rFonts w:ascii="Arial" w:hAnsi="Arial" w:cs="Arial"/>
          <w:bCs/>
          <w:color w:val="1A1617"/>
          <w:sz w:val="28"/>
          <w:szCs w:val="28"/>
          <w:lang w:val="en-GB"/>
        </w:rPr>
        <w:tab/>
      </w:r>
      <w:r w:rsidR="001916BF" w:rsidRPr="001030F5">
        <w:rPr>
          <w:rFonts w:ascii="Arial" w:hAnsi="Arial" w:cs="Arial"/>
          <w:sz w:val="28"/>
          <w:szCs w:val="28"/>
          <w:lang w:val="en-GB"/>
        </w:rPr>
        <w:t xml:space="preserve">The National Bank of Serbia shall compute the </w:t>
      </w:r>
      <w:r w:rsidR="00952B42">
        <w:rPr>
          <w:rFonts w:ascii="Arial" w:hAnsi="Arial" w:cs="Arial"/>
          <w:sz w:val="28"/>
          <w:szCs w:val="28"/>
          <w:lang w:val="en-GB"/>
        </w:rPr>
        <w:t xml:space="preserve">regular </w:t>
      </w:r>
      <w:r w:rsidR="001916BF" w:rsidRPr="001030F5">
        <w:rPr>
          <w:rFonts w:ascii="Arial" w:hAnsi="Arial" w:cs="Arial"/>
          <w:sz w:val="28"/>
          <w:szCs w:val="28"/>
          <w:lang w:val="en-GB"/>
        </w:rPr>
        <w:t>annual contribution of each bank </w:t>
      </w:r>
      <w:r w:rsidR="00955056" w:rsidRPr="001030F5">
        <w:rPr>
          <w:rFonts w:ascii="Arial" w:hAnsi="Arial" w:cs="Arial"/>
          <w:sz w:val="28"/>
          <w:szCs w:val="28"/>
          <w:lang w:val="en-GB"/>
        </w:rPr>
        <w:t>(</w:t>
      </w:r>
      <w:r w:rsidR="00117C2A" w:rsidRPr="001030F5">
        <w:rPr>
          <w:rFonts w:ascii="Arial" w:hAnsi="Arial" w:cs="Arial"/>
          <w:b/>
          <w:bCs/>
          <w:i/>
          <w:iCs/>
          <w:sz w:val="28"/>
          <w:szCs w:val="28"/>
          <w:lang w:val="en-GB"/>
        </w:rPr>
        <w:t>n</w:t>
      </w:r>
      <w:r w:rsidR="00955056" w:rsidRPr="001030F5">
        <w:rPr>
          <w:rFonts w:ascii="Arial" w:hAnsi="Arial" w:cs="Arial"/>
          <w:sz w:val="28"/>
          <w:szCs w:val="28"/>
          <w:lang w:val="en-GB"/>
        </w:rPr>
        <w:t>)</w:t>
      </w:r>
      <w:r w:rsidR="00117C2A" w:rsidRPr="001030F5">
        <w:rPr>
          <w:rFonts w:ascii="Arial" w:hAnsi="Arial" w:cs="Arial"/>
          <w:sz w:val="28"/>
          <w:szCs w:val="28"/>
          <w:lang w:val="en-GB"/>
        </w:rPr>
        <w:t xml:space="preserve">, </w:t>
      </w:r>
      <w:r w:rsidR="001916BF" w:rsidRPr="001030F5">
        <w:rPr>
          <w:rFonts w:ascii="Arial" w:hAnsi="Arial" w:cs="Arial"/>
          <w:sz w:val="28"/>
          <w:szCs w:val="28"/>
          <w:lang w:val="en-GB"/>
        </w:rPr>
        <w:t xml:space="preserve">except in respect of banks for which the regular annual contribution is computed in accordance with Section 25, paragraph 2 of this Decision and except for the fixed </w:t>
      </w:r>
      <w:r w:rsidR="001030F5" w:rsidRPr="001030F5">
        <w:rPr>
          <w:rFonts w:ascii="Arial" w:hAnsi="Arial" w:cs="Arial"/>
          <w:sz w:val="28"/>
          <w:szCs w:val="28"/>
          <w:lang w:val="en-GB"/>
        </w:rPr>
        <w:t>portion</w:t>
      </w:r>
      <w:r w:rsidR="001916BF" w:rsidRPr="001030F5">
        <w:rPr>
          <w:rFonts w:ascii="Arial" w:hAnsi="Arial" w:cs="Arial"/>
          <w:sz w:val="28"/>
          <w:szCs w:val="28"/>
          <w:lang w:val="en-GB"/>
        </w:rPr>
        <w:t xml:space="preserve"> of the contribution of banks to which Section 28 of this Decision applies, as:</w:t>
      </w:r>
    </w:p>
    <w:p w14:paraId="3265028E" w14:textId="77777777" w:rsidR="00955056" w:rsidRPr="001030F5" w:rsidRDefault="00955056" w:rsidP="00DF00F1">
      <w:pPr>
        <w:widowControl w:val="0"/>
        <w:spacing w:after="0" w:line="240" w:lineRule="auto"/>
        <w:jc w:val="both"/>
        <w:rPr>
          <w:rFonts w:ascii="Arial" w:hAnsi="Arial" w:cs="Arial"/>
          <w:sz w:val="28"/>
          <w:szCs w:val="28"/>
          <w:lang w:val="en-GB"/>
        </w:rPr>
      </w:pPr>
    </w:p>
    <w:p w14:paraId="015F4C3F" w14:textId="21FA5234" w:rsidR="00FD1054" w:rsidRPr="001030F5" w:rsidRDefault="008F5E9B" w:rsidP="00DF00F1">
      <w:pPr>
        <w:widowControl w:val="0"/>
        <w:spacing w:after="0" w:line="240" w:lineRule="auto"/>
        <w:jc w:val="center"/>
        <w:rPr>
          <w:rFonts w:ascii="Arial" w:hAnsi="Arial" w:cs="Arial"/>
          <w:sz w:val="28"/>
          <w:szCs w:val="28"/>
          <w:lang w:val="en-GB"/>
        </w:rPr>
      </w:pPr>
      <w:r w:rsidRPr="001030F5">
        <w:rPr>
          <w:rFonts w:ascii="Cambria Math" w:hAnsi="Cambria Math"/>
          <w:i/>
          <w:sz w:val="20"/>
          <w:szCs w:val="20"/>
          <w:lang w:val="en-GB"/>
        </w:rPr>
        <w:br/>
      </w:r>
      <w:bookmarkStart w:id="1" w:name="_Hlk199747712"/>
      <w:bookmarkStart w:id="2" w:name="_Hlk199747602"/>
      <m:oMathPara>
        <m:oMath>
          <m:sSub>
            <m:sSubPr>
              <m:ctrlPr>
                <w:rPr>
                  <w:rFonts w:ascii="Cambria Math" w:hAnsi="Cambria Math"/>
                  <w:i/>
                  <w:sz w:val="20"/>
                  <w:szCs w:val="20"/>
                  <w:lang w:val="en-GB"/>
                </w:rPr>
              </m:ctrlPr>
            </m:sSubPr>
            <m:e>
              <m:r>
                <w:rPr>
                  <w:rFonts w:ascii="Cambria Math" w:hAnsi="Cambria Math"/>
                  <w:sz w:val="20"/>
                  <w:szCs w:val="20"/>
                  <w:lang w:val="en-GB"/>
                </w:rPr>
                <m:t>C</m:t>
              </m:r>
            </m:e>
            <m:sub>
              <m:r>
                <w:rPr>
                  <w:rFonts w:ascii="Cambria Math" w:hAnsi="Cambria Math"/>
                  <w:sz w:val="20"/>
                  <w:szCs w:val="20"/>
                  <w:lang w:val="en-GB"/>
                </w:rPr>
                <m:t>n</m:t>
              </m:r>
            </m:sub>
          </m:sSub>
          <m:r>
            <w:rPr>
              <w:rFonts w:ascii="Cambria Math" w:hAnsi="Cambria Math"/>
              <w:sz w:val="20"/>
              <w:szCs w:val="20"/>
              <w:lang w:val="en-GB"/>
            </w:rPr>
            <m:t>=GCI*</m:t>
          </m:r>
          <m:f>
            <m:fPr>
              <m:ctrlPr>
                <w:rPr>
                  <w:rFonts w:ascii="Cambria Math" w:hAnsi="Cambria Math"/>
                  <w:i/>
                  <w:sz w:val="20"/>
                  <w:szCs w:val="20"/>
                  <w:lang w:val="en-GB"/>
                </w:rPr>
              </m:ctrlPr>
            </m:fPr>
            <m:num>
              <m:f>
                <m:fPr>
                  <m:ctrlPr>
                    <w:rPr>
                      <w:rFonts w:ascii="Cambria Math" w:hAnsi="Cambria Math"/>
                      <w:i/>
                      <w:sz w:val="20"/>
                      <w:szCs w:val="20"/>
                      <w:lang w:val="en-GB"/>
                    </w:rPr>
                  </m:ctrlPr>
                </m:fPr>
                <m:num>
                  <m:sSub>
                    <m:sSubPr>
                      <m:ctrlPr>
                        <w:rPr>
                          <w:rFonts w:ascii="Cambria Math" w:hAnsi="Cambria Math"/>
                          <w:i/>
                          <w:sz w:val="20"/>
                          <w:szCs w:val="20"/>
                          <w:lang w:val="en-GB"/>
                        </w:rPr>
                      </m:ctrlPr>
                    </m:sSubPr>
                    <m:e>
                      <m:r>
                        <w:rPr>
                          <w:rFonts w:ascii="Cambria Math" w:hAnsi="Cambria Math"/>
                          <w:sz w:val="20"/>
                          <w:szCs w:val="20"/>
                          <w:lang w:val="en-GB"/>
                        </w:rPr>
                        <m:t>B</m:t>
                      </m:r>
                    </m:e>
                    <m:sub>
                      <m:r>
                        <w:rPr>
                          <w:rFonts w:ascii="Cambria Math" w:hAnsi="Cambria Math"/>
                          <w:sz w:val="20"/>
                          <w:szCs w:val="20"/>
                          <w:lang w:val="en-GB"/>
                        </w:rPr>
                        <m:t>n</m:t>
                      </m:r>
                    </m:sub>
                  </m:sSub>
                </m:num>
                <m:den>
                  <m:nary>
                    <m:naryPr>
                      <m:chr m:val="∑"/>
                      <m:limLoc m:val="subSup"/>
                      <m:ctrlPr>
                        <w:rPr>
                          <w:rFonts w:ascii="Cambria Math" w:hAnsi="Cambria Math"/>
                          <w:i/>
                          <w:sz w:val="20"/>
                          <w:szCs w:val="20"/>
                          <w:lang w:val="en-GB"/>
                        </w:rPr>
                      </m:ctrlPr>
                    </m:naryPr>
                    <m:sub>
                      <m:r>
                        <w:rPr>
                          <w:rFonts w:ascii="Cambria Math" w:hAnsi="Cambria Math"/>
                          <w:sz w:val="20"/>
                          <w:szCs w:val="20"/>
                          <w:lang w:val="en-GB"/>
                        </w:rPr>
                        <m:t>p=1</m:t>
                      </m:r>
                    </m:sub>
                    <m:sup>
                      <m:r>
                        <w:rPr>
                          <w:rFonts w:ascii="Cambria Math" w:hAnsi="Cambria Math"/>
                          <w:sz w:val="20"/>
                          <w:szCs w:val="20"/>
                          <w:lang w:val="en-GB"/>
                        </w:rPr>
                        <m:t>N</m:t>
                      </m:r>
                    </m:sup>
                    <m:e>
                      <m:sSub>
                        <m:sSubPr>
                          <m:ctrlPr>
                            <w:rPr>
                              <w:rFonts w:ascii="Cambria Math" w:hAnsi="Cambria Math"/>
                              <w:i/>
                              <w:sz w:val="20"/>
                              <w:szCs w:val="20"/>
                              <w:lang w:val="en-GB"/>
                            </w:rPr>
                          </m:ctrlPr>
                        </m:sSubPr>
                        <m:e>
                          <m:r>
                            <w:rPr>
                              <w:rFonts w:ascii="Cambria Math" w:hAnsi="Cambria Math"/>
                              <w:sz w:val="20"/>
                              <w:szCs w:val="20"/>
                              <w:lang w:val="en-GB"/>
                            </w:rPr>
                            <m:t>B</m:t>
                          </m:r>
                        </m:e>
                        <m:sub>
                          <m:r>
                            <w:rPr>
                              <w:rFonts w:ascii="Cambria Math" w:hAnsi="Cambria Math"/>
                              <w:sz w:val="20"/>
                              <w:szCs w:val="20"/>
                              <w:lang w:val="en-GB"/>
                            </w:rPr>
                            <m:t>p</m:t>
                          </m:r>
                        </m:sub>
                      </m:sSub>
                    </m:e>
                  </m:nary>
                </m:den>
              </m:f>
              <m:r>
                <w:rPr>
                  <w:rFonts w:ascii="Cambria Math" w:hAnsi="Cambria Math"/>
                  <w:sz w:val="20"/>
                  <w:szCs w:val="20"/>
                  <w:lang w:val="en-GB"/>
                </w:rPr>
                <m:t>*</m:t>
              </m:r>
              <m:sSub>
                <m:sSubPr>
                  <m:ctrlPr>
                    <w:rPr>
                      <w:rFonts w:ascii="Cambria Math" w:hAnsi="Cambria Math"/>
                      <w:i/>
                      <w:sz w:val="20"/>
                      <w:szCs w:val="20"/>
                      <w:lang w:val="en-GB"/>
                    </w:rPr>
                  </m:ctrlPr>
                </m:sSubPr>
                <m:e>
                  <m:acc>
                    <m:accPr>
                      <m:chr m:val="̃"/>
                      <m:ctrlPr>
                        <w:rPr>
                          <w:rFonts w:ascii="Cambria Math" w:hAnsi="Cambria Math"/>
                          <w:i/>
                          <w:sz w:val="20"/>
                          <w:szCs w:val="20"/>
                          <w:lang w:val="en-GB"/>
                        </w:rPr>
                      </m:ctrlPr>
                    </m:accPr>
                    <m:e>
                      <m:r>
                        <w:rPr>
                          <w:rFonts w:ascii="Cambria Math" w:hAnsi="Cambria Math"/>
                          <w:sz w:val="20"/>
                          <w:szCs w:val="20"/>
                          <w:lang w:val="en-GB"/>
                        </w:rPr>
                        <m:t>R</m:t>
                      </m:r>
                    </m:e>
                  </m:acc>
                </m:e>
                <m:sub>
                  <m:r>
                    <w:rPr>
                      <w:rFonts w:ascii="Cambria Math" w:hAnsi="Cambria Math"/>
                      <w:sz w:val="20"/>
                      <w:szCs w:val="20"/>
                      <w:lang w:val="en-GB"/>
                    </w:rPr>
                    <m:t>p</m:t>
                  </m:r>
                </m:sub>
              </m:sSub>
            </m:num>
            <m:den>
              <m:nary>
                <m:naryPr>
                  <m:chr m:val="∑"/>
                  <m:limLoc m:val="subSup"/>
                  <m:ctrlPr>
                    <w:rPr>
                      <w:rFonts w:ascii="Cambria Math" w:hAnsi="Cambria Math"/>
                      <w:i/>
                      <w:sz w:val="20"/>
                      <w:szCs w:val="20"/>
                      <w:lang w:val="en-GB"/>
                    </w:rPr>
                  </m:ctrlPr>
                </m:naryPr>
                <m:sub>
                  <m:r>
                    <w:rPr>
                      <w:rFonts w:ascii="Cambria Math" w:hAnsi="Cambria Math"/>
                      <w:sz w:val="20"/>
                      <w:szCs w:val="20"/>
                      <w:lang w:val="en-GB"/>
                    </w:rPr>
                    <m:t>p=1</m:t>
                  </m:r>
                </m:sub>
                <m:sup>
                  <m:r>
                    <w:rPr>
                      <w:rFonts w:ascii="Cambria Math" w:hAnsi="Cambria Math"/>
                      <w:sz w:val="20"/>
                      <w:szCs w:val="20"/>
                      <w:lang w:val="en-GB"/>
                    </w:rPr>
                    <m:t>N</m:t>
                  </m:r>
                </m:sup>
                <m:e>
                  <m:d>
                    <m:dPr>
                      <m:ctrlPr>
                        <w:rPr>
                          <w:rFonts w:ascii="Cambria Math" w:hAnsi="Cambria Math"/>
                          <w:i/>
                          <w:sz w:val="20"/>
                          <w:szCs w:val="20"/>
                          <w:lang w:val="en-GB"/>
                        </w:rPr>
                      </m:ctrlPr>
                    </m:dPr>
                    <m:e>
                      <m:f>
                        <m:fPr>
                          <m:ctrlPr>
                            <w:rPr>
                              <w:rFonts w:ascii="Cambria Math" w:hAnsi="Cambria Math"/>
                              <w:i/>
                              <w:sz w:val="20"/>
                              <w:szCs w:val="20"/>
                              <w:lang w:val="en-GB"/>
                            </w:rPr>
                          </m:ctrlPr>
                        </m:fPr>
                        <m:num>
                          <m:sSub>
                            <m:sSubPr>
                              <m:ctrlPr>
                                <w:rPr>
                                  <w:rFonts w:ascii="Cambria Math" w:hAnsi="Cambria Math"/>
                                  <w:i/>
                                  <w:sz w:val="20"/>
                                  <w:szCs w:val="20"/>
                                  <w:lang w:val="en-GB"/>
                                </w:rPr>
                              </m:ctrlPr>
                            </m:sSubPr>
                            <m:e>
                              <m:r>
                                <w:rPr>
                                  <w:rFonts w:ascii="Cambria Math" w:hAnsi="Cambria Math"/>
                                  <w:sz w:val="20"/>
                                  <w:szCs w:val="20"/>
                                  <w:lang w:val="en-GB"/>
                                </w:rPr>
                                <m:t>B</m:t>
                              </m:r>
                            </m:e>
                            <m:sub>
                              <m:r>
                                <w:rPr>
                                  <w:rFonts w:ascii="Cambria Math" w:hAnsi="Cambria Math"/>
                                  <w:sz w:val="20"/>
                                  <w:szCs w:val="20"/>
                                  <w:lang w:val="en-GB"/>
                                </w:rPr>
                                <m:t>P</m:t>
                              </m:r>
                            </m:sub>
                          </m:sSub>
                        </m:num>
                        <m:den>
                          <m:nary>
                            <m:naryPr>
                              <m:chr m:val="∑"/>
                              <m:limLoc m:val="subSup"/>
                              <m:ctrlPr>
                                <w:rPr>
                                  <w:rFonts w:ascii="Cambria Math" w:hAnsi="Cambria Math"/>
                                  <w:i/>
                                  <w:sz w:val="20"/>
                                  <w:szCs w:val="20"/>
                                  <w:lang w:val="en-GB"/>
                                </w:rPr>
                              </m:ctrlPr>
                            </m:naryPr>
                            <m:sub>
                              <m:r>
                                <w:rPr>
                                  <w:rFonts w:ascii="Cambria Math" w:hAnsi="Cambria Math"/>
                                  <w:sz w:val="20"/>
                                  <w:szCs w:val="20"/>
                                  <w:lang w:val="en-GB"/>
                                </w:rPr>
                                <m:t>q=1</m:t>
                              </m:r>
                            </m:sub>
                            <m:sup>
                              <m:r>
                                <w:rPr>
                                  <w:rFonts w:ascii="Cambria Math" w:hAnsi="Cambria Math"/>
                                  <w:sz w:val="20"/>
                                  <w:szCs w:val="20"/>
                                  <w:lang w:val="en-GB"/>
                                </w:rPr>
                                <m:t>N</m:t>
                              </m:r>
                            </m:sup>
                            <m:e>
                              <m:sSub>
                                <m:sSubPr>
                                  <m:ctrlPr>
                                    <w:rPr>
                                      <w:rFonts w:ascii="Cambria Math" w:hAnsi="Cambria Math"/>
                                      <w:i/>
                                      <w:sz w:val="20"/>
                                      <w:szCs w:val="20"/>
                                      <w:lang w:val="en-GB"/>
                                    </w:rPr>
                                  </m:ctrlPr>
                                </m:sSubPr>
                                <m:e>
                                  <m:r>
                                    <w:rPr>
                                      <w:rFonts w:ascii="Cambria Math" w:hAnsi="Cambria Math"/>
                                      <w:sz w:val="20"/>
                                      <w:szCs w:val="20"/>
                                      <w:lang w:val="en-GB"/>
                                    </w:rPr>
                                    <m:t>B</m:t>
                                  </m:r>
                                </m:e>
                                <m:sub>
                                  <m:r>
                                    <w:rPr>
                                      <w:rFonts w:ascii="Cambria Math" w:hAnsi="Cambria Math"/>
                                      <w:sz w:val="20"/>
                                      <w:szCs w:val="20"/>
                                      <w:lang w:val="en-GB"/>
                                    </w:rPr>
                                    <m:t>q</m:t>
                                  </m:r>
                                </m:sub>
                              </m:sSub>
                            </m:e>
                          </m:nary>
                        </m:den>
                      </m:f>
                      <m:r>
                        <w:rPr>
                          <w:rFonts w:ascii="Cambria Math" w:hAnsi="Cambria Math"/>
                          <w:sz w:val="20"/>
                          <w:szCs w:val="20"/>
                          <w:lang w:val="en-GB"/>
                        </w:rPr>
                        <m:t>*</m:t>
                      </m:r>
                      <m:sSub>
                        <m:sSubPr>
                          <m:ctrlPr>
                            <w:rPr>
                              <w:rFonts w:ascii="Cambria Math" w:hAnsi="Cambria Math"/>
                              <w:i/>
                              <w:sz w:val="20"/>
                              <w:szCs w:val="20"/>
                              <w:lang w:val="en-GB"/>
                            </w:rPr>
                          </m:ctrlPr>
                        </m:sSubPr>
                        <m:e>
                          <m:acc>
                            <m:accPr>
                              <m:chr m:val="̃"/>
                              <m:ctrlPr>
                                <w:rPr>
                                  <w:rFonts w:ascii="Cambria Math" w:hAnsi="Cambria Math"/>
                                  <w:i/>
                                  <w:sz w:val="20"/>
                                  <w:szCs w:val="20"/>
                                  <w:lang w:val="en-GB"/>
                                </w:rPr>
                              </m:ctrlPr>
                            </m:accPr>
                            <m:e>
                              <m:r>
                                <w:rPr>
                                  <w:rFonts w:ascii="Cambria Math" w:hAnsi="Cambria Math"/>
                                  <w:sz w:val="20"/>
                                  <w:szCs w:val="20"/>
                                  <w:lang w:val="en-GB"/>
                                </w:rPr>
                                <m:t>R</m:t>
                              </m:r>
                            </m:e>
                          </m:acc>
                        </m:e>
                        <m:sub>
                          <m:r>
                            <w:rPr>
                              <w:rFonts w:ascii="Cambria Math" w:hAnsi="Cambria Math"/>
                              <w:sz w:val="20"/>
                              <w:szCs w:val="20"/>
                              <w:lang w:val="en-GB"/>
                            </w:rPr>
                            <m:t>p</m:t>
                          </m:r>
                        </m:sub>
                      </m:sSub>
                    </m:e>
                  </m:d>
                </m:e>
              </m:nary>
            </m:den>
          </m:f>
        </m:oMath>
      </m:oMathPara>
      <w:bookmarkEnd w:id="1"/>
    </w:p>
    <w:bookmarkEnd w:id="2"/>
    <w:p w14:paraId="27CA6670" w14:textId="32AD5DD4" w:rsidR="009754DE" w:rsidRPr="001030F5" w:rsidRDefault="009754DE" w:rsidP="00DF00F1">
      <w:pPr>
        <w:widowControl w:val="0"/>
        <w:spacing w:after="0" w:line="240" w:lineRule="auto"/>
        <w:jc w:val="center"/>
        <w:rPr>
          <w:rFonts w:ascii="Arial" w:hAnsi="Arial" w:cs="Arial"/>
          <w:sz w:val="28"/>
          <w:szCs w:val="28"/>
          <w:lang w:val="en-GB"/>
        </w:rPr>
      </w:pPr>
    </w:p>
    <w:p w14:paraId="1AC89A20" w14:textId="77777777" w:rsidR="009754DE" w:rsidRPr="001030F5" w:rsidRDefault="009754DE" w:rsidP="00DF00F1">
      <w:pPr>
        <w:widowControl w:val="0"/>
        <w:spacing w:after="0" w:line="240" w:lineRule="auto"/>
        <w:jc w:val="both"/>
        <w:rPr>
          <w:rFonts w:ascii="Arial" w:hAnsi="Arial" w:cs="Arial"/>
          <w:sz w:val="28"/>
          <w:szCs w:val="28"/>
          <w:lang w:val="en-GB"/>
        </w:rPr>
      </w:pPr>
    </w:p>
    <w:p w14:paraId="1CCD8363" w14:textId="58DC8BB7" w:rsidR="009754DE" w:rsidRPr="001030F5" w:rsidRDefault="001916BF" w:rsidP="00DF00F1">
      <w:pPr>
        <w:widowControl w:val="0"/>
        <w:spacing w:after="0" w:line="240" w:lineRule="auto"/>
        <w:jc w:val="both"/>
        <w:rPr>
          <w:rFonts w:ascii="Arial" w:hAnsi="Arial" w:cs="Arial"/>
          <w:sz w:val="28"/>
          <w:szCs w:val="28"/>
          <w:lang w:val="en-GB"/>
        </w:rPr>
      </w:pPr>
      <w:r w:rsidRPr="001030F5">
        <w:rPr>
          <w:rFonts w:ascii="Arial" w:hAnsi="Arial" w:cs="Arial"/>
          <w:sz w:val="28"/>
          <w:szCs w:val="28"/>
          <w:lang w:val="en-GB"/>
        </w:rPr>
        <w:t>where</w:t>
      </w:r>
      <w:r w:rsidR="009754DE" w:rsidRPr="001030F5">
        <w:rPr>
          <w:rFonts w:ascii="Arial" w:hAnsi="Arial" w:cs="Arial"/>
          <w:sz w:val="28"/>
          <w:szCs w:val="28"/>
          <w:lang w:val="en-GB"/>
        </w:rPr>
        <w:t>:</w:t>
      </w:r>
    </w:p>
    <w:p w14:paraId="13362491" w14:textId="77777777" w:rsidR="009754DE" w:rsidRPr="001030F5" w:rsidRDefault="009754DE" w:rsidP="00DF00F1">
      <w:pPr>
        <w:widowControl w:val="0"/>
        <w:spacing w:after="0" w:line="240" w:lineRule="auto"/>
        <w:jc w:val="both"/>
        <w:rPr>
          <w:rFonts w:ascii="Arial" w:hAnsi="Arial" w:cs="Arial"/>
          <w:sz w:val="28"/>
          <w:szCs w:val="28"/>
          <w:lang w:val="en-GB"/>
        </w:rPr>
      </w:pPr>
    </w:p>
    <w:p w14:paraId="1F25799D" w14:textId="1FC27164" w:rsidR="009754DE" w:rsidRPr="001030F5" w:rsidRDefault="00AA0638" w:rsidP="00DF00F1">
      <w:pPr>
        <w:widowControl w:val="0"/>
        <w:spacing w:after="0" w:line="240" w:lineRule="auto"/>
        <w:jc w:val="both"/>
        <w:rPr>
          <w:rFonts w:ascii="Arial" w:hAnsi="Arial" w:cs="Arial"/>
          <w:sz w:val="28"/>
          <w:szCs w:val="28"/>
          <w:lang w:val="en-GB"/>
        </w:rPr>
      </w:pPr>
      <w:proofErr w:type="spellStart"/>
      <w:r w:rsidRPr="001030F5">
        <w:rPr>
          <w:rFonts w:ascii="Arial" w:hAnsi="Arial" w:cs="Arial"/>
          <w:b/>
          <w:bCs/>
          <w:i/>
          <w:iCs/>
          <w:sz w:val="28"/>
          <w:szCs w:val="28"/>
          <w:lang w:val="en-GB"/>
        </w:rPr>
        <w:t>p</w:t>
      </w:r>
      <w:r w:rsidR="009754DE" w:rsidRPr="001030F5">
        <w:rPr>
          <w:rFonts w:ascii="Arial" w:hAnsi="Arial" w:cs="Arial"/>
          <w:sz w:val="28"/>
          <w:szCs w:val="28"/>
          <w:lang w:val="en-GB"/>
        </w:rPr>
        <w:t>,</w:t>
      </w:r>
      <w:r w:rsidR="009754DE" w:rsidRPr="001030F5">
        <w:rPr>
          <w:rFonts w:ascii="Arial" w:hAnsi="Arial" w:cs="Arial"/>
          <w:b/>
          <w:bCs/>
          <w:i/>
          <w:iCs/>
          <w:sz w:val="28"/>
          <w:szCs w:val="28"/>
          <w:lang w:val="en-GB"/>
        </w:rPr>
        <w:t>q</w:t>
      </w:r>
      <w:proofErr w:type="spellEnd"/>
      <w:r w:rsidR="009754DE" w:rsidRPr="001030F5">
        <w:rPr>
          <w:rFonts w:ascii="Arial" w:hAnsi="Arial" w:cs="Arial"/>
          <w:sz w:val="28"/>
          <w:szCs w:val="28"/>
          <w:lang w:val="en-GB"/>
        </w:rPr>
        <w:t xml:space="preserve"> – </w:t>
      </w:r>
      <w:r w:rsidR="001916BF" w:rsidRPr="001030F5">
        <w:rPr>
          <w:rFonts w:ascii="Arial" w:hAnsi="Arial" w:cs="Arial"/>
          <w:sz w:val="28"/>
          <w:szCs w:val="28"/>
          <w:lang w:val="en-GB"/>
        </w:rPr>
        <w:t>index banks</w:t>
      </w:r>
      <w:r w:rsidR="00EB1E11" w:rsidRPr="001030F5">
        <w:rPr>
          <w:rFonts w:ascii="Arial" w:hAnsi="Arial" w:cs="Arial"/>
          <w:sz w:val="28"/>
          <w:szCs w:val="28"/>
          <w:lang w:val="en-GB"/>
        </w:rPr>
        <w:t>,</w:t>
      </w:r>
    </w:p>
    <w:p w14:paraId="7BB73294" w14:textId="55B6058B" w:rsidR="009754DE" w:rsidRPr="001030F5" w:rsidRDefault="00C415BA" w:rsidP="00DF00F1">
      <w:pPr>
        <w:widowControl w:val="0"/>
        <w:spacing w:after="0" w:line="240" w:lineRule="auto"/>
        <w:jc w:val="both"/>
        <w:rPr>
          <w:rFonts w:ascii="Arial" w:hAnsi="Arial" w:cs="Arial"/>
          <w:sz w:val="28"/>
          <w:szCs w:val="28"/>
          <w:lang w:val="en-GB"/>
        </w:rPr>
      </w:pPr>
      <w:r w:rsidRPr="001030F5">
        <w:rPr>
          <w:rFonts w:ascii="Arial" w:hAnsi="Arial" w:cs="Arial"/>
          <w:b/>
          <w:bCs/>
          <w:i/>
          <w:iCs/>
          <w:sz w:val="28"/>
          <w:szCs w:val="28"/>
          <w:lang w:val="en-GB"/>
        </w:rPr>
        <w:t>GCI</w:t>
      </w:r>
      <w:r w:rsidR="00AA0638" w:rsidRPr="001030F5">
        <w:rPr>
          <w:rFonts w:ascii="Arial" w:hAnsi="Arial" w:cs="Arial"/>
          <w:sz w:val="28"/>
          <w:szCs w:val="28"/>
          <w:lang w:val="en-GB"/>
        </w:rPr>
        <w:t xml:space="preserve"> – </w:t>
      </w:r>
      <w:r w:rsidR="001916BF" w:rsidRPr="001030F5">
        <w:rPr>
          <w:rFonts w:ascii="Arial" w:hAnsi="Arial" w:cs="Arial"/>
          <w:sz w:val="28"/>
          <w:szCs w:val="28"/>
          <w:lang w:val="en-GB"/>
        </w:rPr>
        <w:t xml:space="preserve">annual target level referred to in Section 2, paragraph 2 of this Decision, </w:t>
      </w:r>
      <w:r w:rsidR="00AA0638" w:rsidRPr="001030F5">
        <w:rPr>
          <w:rFonts w:ascii="Arial" w:hAnsi="Arial" w:cs="Arial"/>
          <w:sz w:val="28"/>
          <w:szCs w:val="28"/>
          <w:lang w:val="en-GB"/>
        </w:rPr>
        <w:t xml:space="preserve"> </w:t>
      </w:r>
      <w:r w:rsidR="001916BF" w:rsidRPr="001030F5">
        <w:rPr>
          <w:rFonts w:ascii="Arial" w:hAnsi="Arial" w:cs="Arial"/>
          <w:sz w:val="28"/>
          <w:szCs w:val="28"/>
          <w:lang w:val="en-GB"/>
        </w:rPr>
        <w:t>minus the sum</w:t>
      </w:r>
      <w:r w:rsidR="001030F5">
        <w:rPr>
          <w:rFonts w:ascii="Arial" w:hAnsi="Arial" w:cs="Arial"/>
          <w:sz w:val="28"/>
          <w:szCs w:val="28"/>
          <w:lang w:val="en-GB"/>
        </w:rPr>
        <w:t xml:space="preserve"> o</w:t>
      </w:r>
      <w:r w:rsidR="001916BF" w:rsidRPr="001030F5">
        <w:rPr>
          <w:rFonts w:ascii="Arial" w:hAnsi="Arial" w:cs="Arial"/>
          <w:sz w:val="28"/>
          <w:szCs w:val="28"/>
          <w:lang w:val="en-GB"/>
        </w:rPr>
        <w:t>f annual contributions calculated in accordance with Section 25, paragraph 2 of this Decision and minus the sum</w:t>
      </w:r>
      <w:r w:rsidR="001030F5">
        <w:rPr>
          <w:rFonts w:ascii="Arial" w:hAnsi="Arial" w:cs="Arial"/>
          <w:sz w:val="28"/>
          <w:szCs w:val="28"/>
          <w:lang w:val="en-GB"/>
        </w:rPr>
        <w:t xml:space="preserve"> o</w:t>
      </w:r>
      <w:r w:rsidR="001916BF" w:rsidRPr="001030F5">
        <w:rPr>
          <w:rFonts w:ascii="Arial" w:hAnsi="Arial" w:cs="Arial"/>
          <w:sz w:val="28"/>
          <w:szCs w:val="28"/>
          <w:lang w:val="en-GB"/>
        </w:rPr>
        <w:t>f fixed contributions calculated in accordance with Section 2</w:t>
      </w:r>
      <w:r w:rsidR="0054393B">
        <w:rPr>
          <w:rFonts w:ascii="Arial" w:hAnsi="Arial" w:cs="Arial"/>
          <w:sz w:val="28"/>
          <w:szCs w:val="28"/>
          <w:lang w:val="en-GB"/>
        </w:rPr>
        <w:t>8</w:t>
      </w:r>
      <w:r w:rsidR="001916BF" w:rsidRPr="001030F5">
        <w:rPr>
          <w:rFonts w:ascii="Arial" w:hAnsi="Arial" w:cs="Arial"/>
          <w:sz w:val="28"/>
          <w:szCs w:val="28"/>
          <w:lang w:val="en-GB"/>
        </w:rPr>
        <w:t xml:space="preserve"> of this Decision, and</w:t>
      </w:r>
      <w:r w:rsidR="00AA0638" w:rsidRPr="001030F5">
        <w:rPr>
          <w:rFonts w:ascii="Arial" w:hAnsi="Arial" w:cs="Arial"/>
          <w:sz w:val="28"/>
          <w:szCs w:val="28"/>
          <w:lang w:val="en-GB"/>
        </w:rPr>
        <w:t xml:space="preserve"> </w:t>
      </w:r>
    </w:p>
    <w:p w14:paraId="4E320146" w14:textId="45170449" w:rsidR="001916BF" w:rsidRPr="001030F5" w:rsidRDefault="00AA0638" w:rsidP="00DF00F1">
      <w:pPr>
        <w:widowControl w:val="0"/>
        <w:spacing w:after="0" w:line="240" w:lineRule="auto"/>
        <w:jc w:val="both"/>
        <w:rPr>
          <w:rFonts w:ascii="Arial" w:hAnsi="Arial" w:cs="Arial"/>
          <w:sz w:val="28"/>
          <w:szCs w:val="28"/>
          <w:lang w:val="en-GB"/>
        </w:rPr>
      </w:pPr>
      <w:r w:rsidRPr="001030F5">
        <w:rPr>
          <w:rFonts w:ascii="Arial" w:hAnsi="Arial" w:cs="Arial"/>
          <w:b/>
          <w:bCs/>
          <w:i/>
          <w:iCs/>
          <w:sz w:val="28"/>
          <w:szCs w:val="28"/>
          <w:lang w:val="en-GB"/>
        </w:rPr>
        <w:t>B</w:t>
      </w:r>
      <w:r w:rsidRPr="001030F5">
        <w:rPr>
          <w:rFonts w:ascii="Arial" w:hAnsi="Arial" w:cs="Arial"/>
          <w:b/>
          <w:bCs/>
          <w:i/>
          <w:iCs/>
          <w:sz w:val="28"/>
          <w:szCs w:val="28"/>
          <w:vertAlign w:val="subscript"/>
          <w:lang w:val="en-GB"/>
        </w:rPr>
        <w:t>n</w:t>
      </w:r>
      <w:r w:rsidRPr="001030F5">
        <w:rPr>
          <w:rFonts w:ascii="Arial" w:hAnsi="Arial" w:cs="Arial"/>
          <w:sz w:val="28"/>
          <w:szCs w:val="28"/>
          <w:lang w:val="en-GB"/>
        </w:rPr>
        <w:t xml:space="preserve"> – </w:t>
      </w:r>
      <w:r w:rsidR="001916BF" w:rsidRPr="001030F5">
        <w:rPr>
          <w:rFonts w:ascii="Arial" w:hAnsi="Arial" w:cs="Arial"/>
          <w:sz w:val="28"/>
          <w:szCs w:val="28"/>
          <w:lang w:val="en-GB"/>
        </w:rPr>
        <w:t xml:space="preserve">the amount of the basic annual contribution of bank </w:t>
      </w:r>
      <w:r w:rsidRPr="0011144F">
        <w:rPr>
          <w:rFonts w:ascii="Arial" w:hAnsi="Arial" w:cs="Arial"/>
          <w:i/>
          <w:iCs/>
          <w:sz w:val="28"/>
          <w:szCs w:val="28"/>
          <w:lang w:val="en-GB"/>
        </w:rPr>
        <w:t>n</w:t>
      </w:r>
      <w:r w:rsidRPr="001030F5">
        <w:rPr>
          <w:rFonts w:ascii="Arial" w:hAnsi="Arial" w:cs="Arial"/>
          <w:sz w:val="28"/>
          <w:szCs w:val="28"/>
          <w:lang w:val="en-GB"/>
        </w:rPr>
        <w:t>,</w:t>
      </w:r>
      <w:r w:rsidR="001916BF" w:rsidRPr="001030F5">
        <w:rPr>
          <w:rFonts w:ascii="Arial" w:hAnsi="Arial" w:cs="Arial"/>
          <w:sz w:val="28"/>
          <w:szCs w:val="28"/>
          <w:lang w:val="en-GB"/>
        </w:rPr>
        <w:t xml:space="preserve"> as adjusted in accordance with Sections 6 to 8 of </w:t>
      </w:r>
      <w:r w:rsidR="001030F5" w:rsidRPr="001030F5">
        <w:rPr>
          <w:rFonts w:ascii="Arial" w:hAnsi="Arial" w:cs="Arial"/>
          <w:sz w:val="28"/>
          <w:szCs w:val="28"/>
          <w:lang w:val="en-GB"/>
        </w:rPr>
        <w:t>this</w:t>
      </w:r>
      <w:r w:rsidR="001916BF" w:rsidRPr="001030F5">
        <w:rPr>
          <w:rFonts w:ascii="Arial" w:hAnsi="Arial" w:cs="Arial"/>
          <w:sz w:val="28"/>
          <w:szCs w:val="28"/>
          <w:lang w:val="en-GB"/>
        </w:rPr>
        <w:t xml:space="preserve"> </w:t>
      </w:r>
      <w:r w:rsidR="001030F5">
        <w:rPr>
          <w:rFonts w:ascii="Arial" w:hAnsi="Arial" w:cs="Arial"/>
          <w:sz w:val="28"/>
          <w:szCs w:val="28"/>
          <w:lang w:val="en-GB"/>
        </w:rPr>
        <w:t>D</w:t>
      </w:r>
      <w:r w:rsidR="001916BF" w:rsidRPr="001030F5">
        <w:rPr>
          <w:rFonts w:ascii="Arial" w:hAnsi="Arial" w:cs="Arial"/>
          <w:sz w:val="28"/>
          <w:szCs w:val="28"/>
          <w:lang w:val="en-GB"/>
        </w:rPr>
        <w:t>ecision, without prejudice to the application of Section 28 of this Decision.</w:t>
      </w:r>
    </w:p>
    <w:p w14:paraId="3E1C60F6" w14:textId="77A75D0C" w:rsidR="001916BF" w:rsidRPr="001030F5" w:rsidRDefault="00AA0638" w:rsidP="001916BF">
      <w:pPr>
        <w:widowControl w:val="0"/>
        <w:spacing w:after="0" w:line="240" w:lineRule="auto"/>
        <w:jc w:val="both"/>
        <w:rPr>
          <w:rFonts w:ascii="Arial" w:hAnsi="Arial" w:cs="Arial"/>
          <w:sz w:val="28"/>
          <w:szCs w:val="28"/>
          <w:lang w:val="en-GB"/>
        </w:rPr>
      </w:pPr>
      <w:r w:rsidRPr="001030F5">
        <w:rPr>
          <w:rFonts w:ascii="Arial" w:hAnsi="Arial" w:cs="Arial"/>
          <w:sz w:val="28"/>
          <w:szCs w:val="28"/>
          <w:lang w:val="en-GB"/>
        </w:rPr>
        <w:t xml:space="preserve"> </w:t>
      </w:r>
    </w:p>
    <w:p w14:paraId="32143958" w14:textId="6F67BA7C" w:rsidR="00A5231D" w:rsidRPr="001030F5" w:rsidRDefault="00A5231D" w:rsidP="00DF00F1">
      <w:pPr>
        <w:widowControl w:val="0"/>
        <w:spacing w:after="0" w:line="240" w:lineRule="auto"/>
        <w:jc w:val="center"/>
        <w:rPr>
          <w:rFonts w:ascii="Arial" w:hAnsi="Arial" w:cs="Arial"/>
          <w:sz w:val="28"/>
          <w:szCs w:val="28"/>
          <w:lang w:val="en-GB"/>
        </w:rPr>
      </w:pPr>
    </w:p>
    <w:sectPr w:rsidR="00A5231D" w:rsidRPr="001030F5" w:rsidSect="00DF00F1">
      <w:footerReference w:type="default" r:id="rId18"/>
      <w:pgSz w:w="11907" w:h="16840" w:code="9"/>
      <w:pgMar w:top="1134" w:right="1134" w:bottom="1134"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4EF095" w14:textId="77777777" w:rsidR="009E4C77" w:rsidRDefault="009E4C77" w:rsidP="00EF6677">
      <w:pPr>
        <w:spacing w:after="0" w:line="240" w:lineRule="auto"/>
      </w:pPr>
      <w:r>
        <w:separator/>
      </w:r>
    </w:p>
  </w:endnote>
  <w:endnote w:type="continuationSeparator" w:id="0">
    <w:p w14:paraId="3E052B6B" w14:textId="77777777" w:rsidR="009E4C77" w:rsidRDefault="009E4C77" w:rsidP="00EF66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22D647" w14:textId="77777777" w:rsidR="00615324" w:rsidRDefault="0013784F" w:rsidP="006A310A">
    <w:pPr>
      <w:pStyle w:val="Footer"/>
      <w:jc w:val="center"/>
    </w:pPr>
    <w:r>
      <w:fldChar w:fldCharType="begin"/>
    </w:r>
    <w:r w:rsidR="00F376EF">
      <w:instrText xml:space="preserve"> PAGE   \* MERGEFORMAT </w:instrText>
    </w:r>
    <w:r>
      <w:fldChar w:fldCharType="separate"/>
    </w:r>
    <w:r w:rsidR="00993409">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1772DC" w14:textId="77777777" w:rsidR="009E4C77" w:rsidRDefault="009E4C77" w:rsidP="00EF6677">
      <w:pPr>
        <w:spacing w:after="0" w:line="240" w:lineRule="auto"/>
      </w:pPr>
      <w:r>
        <w:separator/>
      </w:r>
    </w:p>
  </w:footnote>
  <w:footnote w:type="continuationSeparator" w:id="0">
    <w:p w14:paraId="41DDD6BD" w14:textId="77777777" w:rsidR="009E4C77" w:rsidRDefault="009E4C77" w:rsidP="00EF66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02152"/>
    <w:multiLevelType w:val="hybridMultilevel"/>
    <w:tmpl w:val="981E1CF4"/>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 w15:restartNumberingAfterBreak="0">
    <w:nsid w:val="19AF1318"/>
    <w:multiLevelType w:val="hybridMultilevel"/>
    <w:tmpl w:val="2B9ECF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C0C0A36"/>
    <w:multiLevelType w:val="hybridMultilevel"/>
    <w:tmpl w:val="E708E200"/>
    <w:lvl w:ilvl="0" w:tplc="C13A5392">
      <w:start w:val="1"/>
      <w:numFmt w:val="bullet"/>
      <w:lvlText w:val=""/>
      <w:lvlJc w:val="left"/>
      <w:pPr>
        <w:ind w:left="720" w:hanging="360"/>
      </w:pPr>
      <w:rPr>
        <w:rFonts w:ascii="Symbol" w:hAnsi="Symbol"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3" w15:restartNumberingAfterBreak="0">
    <w:nsid w:val="35EB44C3"/>
    <w:multiLevelType w:val="hybridMultilevel"/>
    <w:tmpl w:val="565A1F18"/>
    <w:lvl w:ilvl="0" w:tplc="241A0011">
      <w:start w:val="1"/>
      <w:numFmt w:val="decimal"/>
      <w:lvlText w:val="%1)"/>
      <w:lvlJc w:val="left"/>
      <w:pPr>
        <w:ind w:left="720" w:hanging="360"/>
      </w:p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4" w15:restartNumberingAfterBreak="0">
    <w:nsid w:val="46340C2C"/>
    <w:multiLevelType w:val="hybridMultilevel"/>
    <w:tmpl w:val="5994E608"/>
    <w:lvl w:ilvl="0" w:tplc="08B2F97A">
      <w:start w:val="1"/>
      <w:numFmt w:val="decimal"/>
      <w:lvlText w:val="%1."/>
      <w:lvlJc w:val="left"/>
      <w:pPr>
        <w:ind w:left="915" w:hanging="465"/>
      </w:pPr>
      <w:rPr>
        <w:rFonts w:hint="default"/>
      </w:rPr>
    </w:lvl>
    <w:lvl w:ilvl="1" w:tplc="241A0019" w:tentative="1">
      <w:start w:val="1"/>
      <w:numFmt w:val="lowerLetter"/>
      <w:lvlText w:val="%2."/>
      <w:lvlJc w:val="left"/>
      <w:pPr>
        <w:ind w:left="1530" w:hanging="360"/>
      </w:pPr>
    </w:lvl>
    <w:lvl w:ilvl="2" w:tplc="241A001B" w:tentative="1">
      <w:start w:val="1"/>
      <w:numFmt w:val="lowerRoman"/>
      <w:lvlText w:val="%3."/>
      <w:lvlJc w:val="right"/>
      <w:pPr>
        <w:ind w:left="2250" w:hanging="180"/>
      </w:pPr>
    </w:lvl>
    <w:lvl w:ilvl="3" w:tplc="241A000F" w:tentative="1">
      <w:start w:val="1"/>
      <w:numFmt w:val="decimal"/>
      <w:lvlText w:val="%4."/>
      <w:lvlJc w:val="left"/>
      <w:pPr>
        <w:ind w:left="2970" w:hanging="360"/>
      </w:pPr>
    </w:lvl>
    <w:lvl w:ilvl="4" w:tplc="241A0019" w:tentative="1">
      <w:start w:val="1"/>
      <w:numFmt w:val="lowerLetter"/>
      <w:lvlText w:val="%5."/>
      <w:lvlJc w:val="left"/>
      <w:pPr>
        <w:ind w:left="3690" w:hanging="360"/>
      </w:pPr>
    </w:lvl>
    <w:lvl w:ilvl="5" w:tplc="241A001B" w:tentative="1">
      <w:start w:val="1"/>
      <w:numFmt w:val="lowerRoman"/>
      <w:lvlText w:val="%6."/>
      <w:lvlJc w:val="right"/>
      <w:pPr>
        <w:ind w:left="4410" w:hanging="180"/>
      </w:pPr>
    </w:lvl>
    <w:lvl w:ilvl="6" w:tplc="241A000F" w:tentative="1">
      <w:start w:val="1"/>
      <w:numFmt w:val="decimal"/>
      <w:lvlText w:val="%7."/>
      <w:lvlJc w:val="left"/>
      <w:pPr>
        <w:ind w:left="5130" w:hanging="360"/>
      </w:pPr>
    </w:lvl>
    <w:lvl w:ilvl="7" w:tplc="241A0019" w:tentative="1">
      <w:start w:val="1"/>
      <w:numFmt w:val="lowerLetter"/>
      <w:lvlText w:val="%8."/>
      <w:lvlJc w:val="left"/>
      <w:pPr>
        <w:ind w:left="5850" w:hanging="360"/>
      </w:pPr>
    </w:lvl>
    <w:lvl w:ilvl="8" w:tplc="241A001B" w:tentative="1">
      <w:start w:val="1"/>
      <w:numFmt w:val="lowerRoman"/>
      <w:lvlText w:val="%9."/>
      <w:lvlJc w:val="right"/>
      <w:pPr>
        <w:ind w:left="6570" w:hanging="180"/>
      </w:pPr>
    </w:lvl>
  </w:abstractNum>
  <w:num w:numId="1" w16cid:durableId="629828198">
    <w:abstractNumId w:val="3"/>
  </w:num>
  <w:num w:numId="2" w16cid:durableId="224609307">
    <w:abstractNumId w:val="2"/>
  </w:num>
  <w:num w:numId="3" w16cid:durableId="353456065">
    <w:abstractNumId w:val="4"/>
  </w:num>
  <w:num w:numId="4" w16cid:durableId="1920476552">
    <w:abstractNumId w:val="0"/>
  </w:num>
  <w:num w:numId="5" w16cid:durableId="213027878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45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677"/>
    <w:rsid w:val="00032E76"/>
    <w:rsid w:val="00065984"/>
    <w:rsid w:val="00065B8C"/>
    <w:rsid w:val="00066111"/>
    <w:rsid w:val="0007098A"/>
    <w:rsid w:val="00077DEF"/>
    <w:rsid w:val="000815DA"/>
    <w:rsid w:val="0009111B"/>
    <w:rsid w:val="00096729"/>
    <w:rsid w:val="00097561"/>
    <w:rsid w:val="000A7AEB"/>
    <w:rsid w:val="000B6942"/>
    <w:rsid w:val="000C5E44"/>
    <w:rsid w:val="000D201E"/>
    <w:rsid w:val="000E176A"/>
    <w:rsid w:val="000E2D4D"/>
    <w:rsid w:val="001030F5"/>
    <w:rsid w:val="0010362A"/>
    <w:rsid w:val="0011144F"/>
    <w:rsid w:val="001166F9"/>
    <w:rsid w:val="00116DE9"/>
    <w:rsid w:val="00117C2A"/>
    <w:rsid w:val="001238EB"/>
    <w:rsid w:val="00125E08"/>
    <w:rsid w:val="001308A6"/>
    <w:rsid w:val="00133541"/>
    <w:rsid w:val="00136069"/>
    <w:rsid w:val="0013784F"/>
    <w:rsid w:val="00146318"/>
    <w:rsid w:val="00151C3D"/>
    <w:rsid w:val="00155473"/>
    <w:rsid w:val="001572E0"/>
    <w:rsid w:val="00166CE4"/>
    <w:rsid w:val="00171C7A"/>
    <w:rsid w:val="001768DC"/>
    <w:rsid w:val="001916BF"/>
    <w:rsid w:val="00192B19"/>
    <w:rsid w:val="001A3473"/>
    <w:rsid w:val="001A36BA"/>
    <w:rsid w:val="001D077E"/>
    <w:rsid w:val="001D5A4D"/>
    <w:rsid w:val="001E3C1D"/>
    <w:rsid w:val="001F4DDD"/>
    <w:rsid w:val="001F6B64"/>
    <w:rsid w:val="001F6FE0"/>
    <w:rsid w:val="001F7670"/>
    <w:rsid w:val="00200DAF"/>
    <w:rsid w:val="00206E06"/>
    <w:rsid w:val="002219A4"/>
    <w:rsid w:val="00221FB4"/>
    <w:rsid w:val="002265D7"/>
    <w:rsid w:val="002372EB"/>
    <w:rsid w:val="00244062"/>
    <w:rsid w:val="00244684"/>
    <w:rsid w:val="00267D3A"/>
    <w:rsid w:val="00267E91"/>
    <w:rsid w:val="0027259C"/>
    <w:rsid w:val="002B51E2"/>
    <w:rsid w:val="002C64D7"/>
    <w:rsid w:val="002C6A22"/>
    <w:rsid w:val="002D6E32"/>
    <w:rsid w:val="002D7C7A"/>
    <w:rsid w:val="002E19EA"/>
    <w:rsid w:val="002E3D9B"/>
    <w:rsid w:val="0031103F"/>
    <w:rsid w:val="00325F72"/>
    <w:rsid w:val="003262C8"/>
    <w:rsid w:val="0034562D"/>
    <w:rsid w:val="00345F34"/>
    <w:rsid w:val="0035333B"/>
    <w:rsid w:val="003609DC"/>
    <w:rsid w:val="003655A7"/>
    <w:rsid w:val="00365704"/>
    <w:rsid w:val="003718F7"/>
    <w:rsid w:val="0038213F"/>
    <w:rsid w:val="00383938"/>
    <w:rsid w:val="00391120"/>
    <w:rsid w:val="003C203B"/>
    <w:rsid w:val="003C51DC"/>
    <w:rsid w:val="003D6C9A"/>
    <w:rsid w:val="003F7962"/>
    <w:rsid w:val="00416252"/>
    <w:rsid w:val="00422DAF"/>
    <w:rsid w:val="00422FD0"/>
    <w:rsid w:val="00425FE5"/>
    <w:rsid w:val="00431F5B"/>
    <w:rsid w:val="00443D3A"/>
    <w:rsid w:val="0044529C"/>
    <w:rsid w:val="004679D7"/>
    <w:rsid w:val="00471C07"/>
    <w:rsid w:val="00471C17"/>
    <w:rsid w:val="004760FD"/>
    <w:rsid w:val="00477954"/>
    <w:rsid w:val="0048091D"/>
    <w:rsid w:val="0048659D"/>
    <w:rsid w:val="00487529"/>
    <w:rsid w:val="004A03A0"/>
    <w:rsid w:val="004A35C2"/>
    <w:rsid w:val="004B027B"/>
    <w:rsid w:val="004C1025"/>
    <w:rsid w:val="004C58A5"/>
    <w:rsid w:val="00507340"/>
    <w:rsid w:val="005133E8"/>
    <w:rsid w:val="00541075"/>
    <w:rsid w:val="0054393B"/>
    <w:rsid w:val="00545268"/>
    <w:rsid w:val="00561D15"/>
    <w:rsid w:val="00565DFA"/>
    <w:rsid w:val="005675F8"/>
    <w:rsid w:val="005722F1"/>
    <w:rsid w:val="0057370F"/>
    <w:rsid w:val="005801A3"/>
    <w:rsid w:val="00583DB8"/>
    <w:rsid w:val="005A2441"/>
    <w:rsid w:val="005A372A"/>
    <w:rsid w:val="005A7256"/>
    <w:rsid w:val="005B0403"/>
    <w:rsid w:val="005B5636"/>
    <w:rsid w:val="005E2A12"/>
    <w:rsid w:val="005F3CD7"/>
    <w:rsid w:val="00615324"/>
    <w:rsid w:val="006235F3"/>
    <w:rsid w:val="00633B89"/>
    <w:rsid w:val="00634EB0"/>
    <w:rsid w:val="006404A7"/>
    <w:rsid w:val="00641EFD"/>
    <w:rsid w:val="00665B12"/>
    <w:rsid w:val="0067571D"/>
    <w:rsid w:val="00681E21"/>
    <w:rsid w:val="0068576E"/>
    <w:rsid w:val="00692196"/>
    <w:rsid w:val="006935CD"/>
    <w:rsid w:val="006A143B"/>
    <w:rsid w:val="006A2E77"/>
    <w:rsid w:val="006A310A"/>
    <w:rsid w:val="006C7902"/>
    <w:rsid w:val="006D0919"/>
    <w:rsid w:val="006D096A"/>
    <w:rsid w:val="006D263D"/>
    <w:rsid w:val="0070209C"/>
    <w:rsid w:val="0070249B"/>
    <w:rsid w:val="007051E8"/>
    <w:rsid w:val="00705ABB"/>
    <w:rsid w:val="00712C8B"/>
    <w:rsid w:val="00712EBB"/>
    <w:rsid w:val="0072393C"/>
    <w:rsid w:val="00725831"/>
    <w:rsid w:val="0073628D"/>
    <w:rsid w:val="0074332C"/>
    <w:rsid w:val="0074391C"/>
    <w:rsid w:val="007440FD"/>
    <w:rsid w:val="00792F05"/>
    <w:rsid w:val="007976F1"/>
    <w:rsid w:val="007A2DC6"/>
    <w:rsid w:val="007A2EC1"/>
    <w:rsid w:val="007A77CE"/>
    <w:rsid w:val="007B0F2D"/>
    <w:rsid w:val="007C6687"/>
    <w:rsid w:val="007D021C"/>
    <w:rsid w:val="007D7851"/>
    <w:rsid w:val="007F4ED7"/>
    <w:rsid w:val="007F623C"/>
    <w:rsid w:val="00804A71"/>
    <w:rsid w:val="0080504C"/>
    <w:rsid w:val="00814F25"/>
    <w:rsid w:val="00826092"/>
    <w:rsid w:val="00834A35"/>
    <w:rsid w:val="00835465"/>
    <w:rsid w:val="00837CA8"/>
    <w:rsid w:val="00841782"/>
    <w:rsid w:val="00844CE0"/>
    <w:rsid w:val="00847049"/>
    <w:rsid w:val="00852749"/>
    <w:rsid w:val="008541DD"/>
    <w:rsid w:val="00861C13"/>
    <w:rsid w:val="00866AC9"/>
    <w:rsid w:val="0088593B"/>
    <w:rsid w:val="00886DE8"/>
    <w:rsid w:val="0089516A"/>
    <w:rsid w:val="00897508"/>
    <w:rsid w:val="008A0501"/>
    <w:rsid w:val="008A5A63"/>
    <w:rsid w:val="008D2060"/>
    <w:rsid w:val="008D5DC2"/>
    <w:rsid w:val="008E357E"/>
    <w:rsid w:val="008E4E61"/>
    <w:rsid w:val="008F5E9B"/>
    <w:rsid w:val="008F663A"/>
    <w:rsid w:val="0090064A"/>
    <w:rsid w:val="00912C47"/>
    <w:rsid w:val="00913F7D"/>
    <w:rsid w:val="009202B9"/>
    <w:rsid w:val="0093004F"/>
    <w:rsid w:val="00952B42"/>
    <w:rsid w:val="00955056"/>
    <w:rsid w:val="0096120D"/>
    <w:rsid w:val="009754DE"/>
    <w:rsid w:val="00983B58"/>
    <w:rsid w:val="00983D7D"/>
    <w:rsid w:val="0099152F"/>
    <w:rsid w:val="00993409"/>
    <w:rsid w:val="00993481"/>
    <w:rsid w:val="00997052"/>
    <w:rsid w:val="009B3106"/>
    <w:rsid w:val="009B3829"/>
    <w:rsid w:val="009B6499"/>
    <w:rsid w:val="009C5C27"/>
    <w:rsid w:val="009C5E36"/>
    <w:rsid w:val="009D57BE"/>
    <w:rsid w:val="009D61DB"/>
    <w:rsid w:val="009E25D8"/>
    <w:rsid w:val="009E4C77"/>
    <w:rsid w:val="00A11101"/>
    <w:rsid w:val="00A15389"/>
    <w:rsid w:val="00A15C8D"/>
    <w:rsid w:val="00A27287"/>
    <w:rsid w:val="00A27E98"/>
    <w:rsid w:val="00A31C4E"/>
    <w:rsid w:val="00A337EA"/>
    <w:rsid w:val="00A37E80"/>
    <w:rsid w:val="00A4169E"/>
    <w:rsid w:val="00A44D2E"/>
    <w:rsid w:val="00A5231D"/>
    <w:rsid w:val="00A62B8D"/>
    <w:rsid w:val="00A91216"/>
    <w:rsid w:val="00A977DC"/>
    <w:rsid w:val="00AA0638"/>
    <w:rsid w:val="00AB2ED1"/>
    <w:rsid w:val="00AC1178"/>
    <w:rsid w:val="00AE1690"/>
    <w:rsid w:val="00AF03AD"/>
    <w:rsid w:val="00AF2ADA"/>
    <w:rsid w:val="00AF630B"/>
    <w:rsid w:val="00B2706A"/>
    <w:rsid w:val="00B465E7"/>
    <w:rsid w:val="00B5019E"/>
    <w:rsid w:val="00B5278F"/>
    <w:rsid w:val="00B54E42"/>
    <w:rsid w:val="00B61320"/>
    <w:rsid w:val="00B70E51"/>
    <w:rsid w:val="00B8027C"/>
    <w:rsid w:val="00B92AF0"/>
    <w:rsid w:val="00BA46DB"/>
    <w:rsid w:val="00BB1403"/>
    <w:rsid w:val="00BD09AF"/>
    <w:rsid w:val="00BD366C"/>
    <w:rsid w:val="00BF545B"/>
    <w:rsid w:val="00C05ACA"/>
    <w:rsid w:val="00C12514"/>
    <w:rsid w:val="00C1703F"/>
    <w:rsid w:val="00C23FA7"/>
    <w:rsid w:val="00C3761C"/>
    <w:rsid w:val="00C415BA"/>
    <w:rsid w:val="00C42C77"/>
    <w:rsid w:val="00C44969"/>
    <w:rsid w:val="00C520F5"/>
    <w:rsid w:val="00C61617"/>
    <w:rsid w:val="00C715EF"/>
    <w:rsid w:val="00C809AA"/>
    <w:rsid w:val="00C81AF9"/>
    <w:rsid w:val="00C81DD2"/>
    <w:rsid w:val="00C83689"/>
    <w:rsid w:val="00C840F8"/>
    <w:rsid w:val="00C864C7"/>
    <w:rsid w:val="00C948B5"/>
    <w:rsid w:val="00C97CB3"/>
    <w:rsid w:val="00CB66F4"/>
    <w:rsid w:val="00CC20AF"/>
    <w:rsid w:val="00CC3115"/>
    <w:rsid w:val="00CD066D"/>
    <w:rsid w:val="00CE0D39"/>
    <w:rsid w:val="00CF061B"/>
    <w:rsid w:val="00D028F7"/>
    <w:rsid w:val="00D1105F"/>
    <w:rsid w:val="00D14F30"/>
    <w:rsid w:val="00D22C66"/>
    <w:rsid w:val="00D332BC"/>
    <w:rsid w:val="00D353F2"/>
    <w:rsid w:val="00D441B3"/>
    <w:rsid w:val="00D453EF"/>
    <w:rsid w:val="00D50934"/>
    <w:rsid w:val="00D66325"/>
    <w:rsid w:val="00D774E8"/>
    <w:rsid w:val="00D840FD"/>
    <w:rsid w:val="00D910DA"/>
    <w:rsid w:val="00D954C8"/>
    <w:rsid w:val="00D966FC"/>
    <w:rsid w:val="00DA4272"/>
    <w:rsid w:val="00DA53DF"/>
    <w:rsid w:val="00DA7775"/>
    <w:rsid w:val="00DD50D9"/>
    <w:rsid w:val="00DD655F"/>
    <w:rsid w:val="00DE2273"/>
    <w:rsid w:val="00DE5B52"/>
    <w:rsid w:val="00DF00F1"/>
    <w:rsid w:val="00DF7905"/>
    <w:rsid w:val="00E01714"/>
    <w:rsid w:val="00E10D7A"/>
    <w:rsid w:val="00E15CE1"/>
    <w:rsid w:val="00E27EF7"/>
    <w:rsid w:val="00E300A6"/>
    <w:rsid w:val="00E42C44"/>
    <w:rsid w:val="00E500DC"/>
    <w:rsid w:val="00E53EC6"/>
    <w:rsid w:val="00E5453E"/>
    <w:rsid w:val="00E62FA5"/>
    <w:rsid w:val="00E640D3"/>
    <w:rsid w:val="00E715D5"/>
    <w:rsid w:val="00E90390"/>
    <w:rsid w:val="00E93AEE"/>
    <w:rsid w:val="00E97A38"/>
    <w:rsid w:val="00EA2E43"/>
    <w:rsid w:val="00EA5B1F"/>
    <w:rsid w:val="00EB13EB"/>
    <w:rsid w:val="00EB1E11"/>
    <w:rsid w:val="00EB20F7"/>
    <w:rsid w:val="00EC5E28"/>
    <w:rsid w:val="00ED4B22"/>
    <w:rsid w:val="00EF6677"/>
    <w:rsid w:val="00F00913"/>
    <w:rsid w:val="00F02F41"/>
    <w:rsid w:val="00F20120"/>
    <w:rsid w:val="00F2098A"/>
    <w:rsid w:val="00F25AA5"/>
    <w:rsid w:val="00F26A50"/>
    <w:rsid w:val="00F276FC"/>
    <w:rsid w:val="00F31365"/>
    <w:rsid w:val="00F376EF"/>
    <w:rsid w:val="00F451FE"/>
    <w:rsid w:val="00F47AC3"/>
    <w:rsid w:val="00F61DB4"/>
    <w:rsid w:val="00F61DDB"/>
    <w:rsid w:val="00F7095F"/>
    <w:rsid w:val="00F71650"/>
    <w:rsid w:val="00F902E6"/>
    <w:rsid w:val="00F91FE9"/>
    <w:rsid w:val="00F955EE"/>
    <w:rsid w:val="00F96078"/>
    <w:rsid w:val="00FA1255"/>
    <w:rsid w:val="00FB19AF"/>
    <w:rsid w:val="00FC46B4"/>
    <w:rsid w:val="00FD1054"/>
    <w:rsid w:val="00FE3115"/>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AD92EE"/>
  <w15:chartTrackingRefBased/>
  <w15:docId w15:val="{E54E2178-F4A1-4FE5-AF6D-07D189F02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r-Latn-RS" w:eastAsia="sr-Latn-R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val="sr-Cyrl-R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F6677"/>
    <w:pPr>
      <w:autoSpaceDE w:val="0"/>
      <w:autoSpaceDN w:val="0"/>
      <w:adjustRightInd w:val="0"/>
    </w:pPr>
    <w:rPr>
      <w:rFonts w:cs="Calibri"/>
      <w:color w:val="000000"/>
      <w:sz w:val="24"/>
      <w:szCs w:val="24"/>
      <w:lang w:val="sr-Cyrl-RS" w:eastAsia="en-US"/>
    </w:rPr>
  </w:style>
  <w:style w:type="paragraph" w:styleId="Header">
    <w:name w:val="header"/>
    <w:basedOn w:val="Normal"/>
    <w:link w:val="HeaderChar"/>
    <w:uiPriority w:val="99"/>
    <w:unhideWhenUsed/>
    <w:rsid w:val="00EF6677"/>
    <w:pPr>
      <w:tabs>
        <w:tab w:val="center" w:pos="4536"/>
        <w:tab w:val="right" w:pos="9072"/>
      </w:tabs>
      <w:spacing w:after="0" w:line="240" w:lineRule="auto"/>
    </w:pPr>
  </w:style>
  <w:style w:type="character" w:customStyle="1" w:styleId="HeaderChar">
    <w:name w:val="Header Char"/>
    <w:basedOn w:val="DefaultParagraphFont"/>
    <w:link w:val="Header"/>
    <w:uiPriority w:val="99"/>
    <w:rsid w:val="00EF6677"/>
  </w:style>
  <w:style w:type="paragraph" w:styleId="Footer">
    <w:name w:val="footer"/>
    <w:basedOn w:val="Normal"/>
    <w:link w:val="FooterChar"/>
    <w:uiPriority w:val="99"/>
    <w:unhideWhenUsed/>
    <w:rsid w:val="00EF6677"/>
    <w:pPr>
      <w:tabs>
        <w:tab w:val="center" w:pos="4536"/>
        <w:tab w:val="right" w:pos="9072"/>
      </w:tabs>
      <w:spacing w:after="0" w:line="240" w:lineRule="auto"/>
    </w:pPr>
  </w:style>
  <w:style w:type="character" w:customStyle="1" w:styleId="FooterChar">
    <w:name w:val="Footer Char"/>
    <w:basedOn w:val="DefaultParagraphFont"/>
    <w:link w:val="Footer"/>
    <w:uiPriority w:val="99"/>
    <w:rsid w:val="00EF6677"/>
  </w:style>
  <w:style w:type="paragraph" w:styleId="ListParagraph">
    <w:name w:val="List Paragraph"/>
    <w:basedOn w:val="Normal"/>
    <w:uiPriority w:val="34"/>
    <w:qFormat/>
    <w:rsid w:val="00561D15"/>
    <w:pPr>
      <w:ind w:left="720"/>
      <w:contextualSpacing/>
    </w:pPr>
  </w:style>
  <w:style w:type="character" w:styleId="CommentReference">
    <w:name w:val="annotation reference"/>
    <w:uiPriority w:val="99"/>
    <w:semiHidden/>
    <w:unhideWhenUsed/>
    <w:rsid w:val="00561D15"/>
    <w:rPr>
      <w:sz w:val="16"/>
      <w:szCs w:val="16"/>
    </w:rPr>
  </w:style>
  <w:style w:type="paragraph" w:styleId="CommentText">
    <w:name w:val="annotation text"/>
    <w:basedOn w:val="Normal"/>
    <w:link w:val="CommentTextChar"/>
    <w:uiPriority w:val="99"/>
    <w:unhideWhenUsed/>
    <w:rsid w:val="00561D15"/>
    <w:pPr>
      <w:spacing w:line="240" w:lineRule="auto"/>
    </w:pPr>
    <w:rPr>
      <w:sz w:val="20"/>
      <w:szCs w:val="20"/>
    </w:rPr>
  </w:style>
  <w:style w:type="character" w:customStyle="1" w:styleId="CommentTextChar">
    <w:name w:val="Comment Text Char"/>
    <w:link w:val="CommentText"/>
    <w:uiPriority w:val="99"/>
    <w:rsid w:val="00561D15"/>
    <w:rPr>
      <w:sz w:val="20"/>
      <w:szCs w:val="20"/>
    </w:rPr>
  </w:style>
  <w:style w:type="paragraph" w:styleId="CommentSubject">
    <w:name w:val="annotation subject"/>
    <w:basedOn w:val="CommentText"/>
    <w:next w:val="CommentText"/>
    <w:link w:val="CommentSubjectChar"/>
    <w:uiPriority w:val="99"/>
    <w:semiHidden/>
    <w:unhideWhenUsed/>
    <w:rsid w:val="00561D15"/>
    <w:rPr>
      <w:b/>
      <w:bCs/>
    </w:rPr>
  </w:style>
  <w:style w:type="character" w:customStyle="1" w:styleId="CommentSubjectChar">
    <w:name w:val="Comment Subject Char"/>
    <w:link w:val="CommentSubject"/>
    <w:uiPriority w:val="99"/>
    <w:semiHidden/>
    <w:rsid w:val="00561D15"/>
    <w:rPr>
      <w:b/>
      <w:bCs/>
      <w:sz w:val="20"/>
      <w:szCs w:val="20"/>
    </w:rPr>
  </w:style>
  <w:style w:type="paragraph" w:styleId="BalloonText">
    <w:name w:val="Balloon Text"/>
    <w:basedOn w:val="Normal"/>
    <w:link w:val="BalloonTextChar"/>
    <w:uiPriority w:val="99"/>
    <w:semiHidden/>
    <w:unhideWhenUsed/>
    <w:rsid w:val="00561D15"/>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561D15"/>
    <w:rPr>
      <w:rFonts w:ascii="Tahoma" w:hAnsi="Tahoma" w:cs="Tahoma"/>
      <w:sz w:val="16"/>
      <w:szCs w:val="16"/>
    </w:rPr>
  </w:style>
  <w:style w:type="paragraph" w:styleId="FootnoteText">
    <w:name w:val="footnote text"/>
    <w:basedOn w:val="Normal"/>
    <w:link w:val="FootnoteTextChar"/>
    <w:rsid w:val="00EA5B1F"/>
    <w:pPr>
      <w:spacing w:after="0" w:line="240" w:lineRule="auto"/>
    </w:pPr>
    <w:rPr>
      <w:rFonts w:ascii="Times New Roman" w:eastAsia="Times New Roman" w:hAnsi="Times New Roman"/>
      <w:sz w:val="20"/>
      <w:szCs w:val="20"/>
      <w:lang w:val="en-US"/>
    </w:rPr>
  </w:style>
  <w:style w:type="character" w:customStyle="1" w:styleId="FootnoteTextChar">
    <w:name w:val="Footnote Text Char"/>
    <w:link w:val="FootnoteText"/>
    <w:rsid w:val="00EA5B1F"/>
    <w:rPr>
      <w:rFonts w:ascii="Times New Roman" w:eastAsia="Times New Roman" w:hAnsi="Times New Roman" w:cs="Times New Roman"/>
      <w:sz w:val="20"/>
      <w:szCs w:val="20"/>
    </w:rPr>
  </w:style>
  <w:style w:type="character" w:styleId="FootnoteReference">
    <w:name w:val="footnote reference"/>
    <w:rsid w:val="00EA5B1F"/>
    <w:rPr>
      <w:vertAlign w:val="superscript"/>
    </w:rPr>
  </w:style>
  <w:style w:type="table" w:styleId="TableGrid">
    <w:name w:val="Table Grid"/>
    <w:basedOn w:val="TableNormal"/>
    <w:uiPriority w:val="59"/>
    <w:rsid w:val="001F6F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8541DD"/>
    <w:rPr>
      <w:sz w:val="22"/>
      <w:szCs w:val="22"/>
      <w:lang w:val="sr-Cyrl-RS" w:eastAsia="en-US"/>
    </w:rPr>
  </w:style>
  <w:style w:type="paragraph" w:customStyle="1" w:styleId="oj-normal">
    <w:name w:val="oj-normal"/>
    <w:basedOn w:val="Normal"/>
    <w:rsid w:val="00D954C8"/>
    <w:pPr>
      <w:spacing w:before="100" w:beforeAutospacing="1" w:after="100" w:afterAutospacing="1" w:line="240" w:lineRule="auto"/>
    </w:pPr>
    <w:rPr>
      <w:rFonts w:ascii="Times New Roman" w:eastAsia="Times New Roman" w:hAnsi="Times New Roman"/>
      <w:sz w:val="24"/>
      <w:szCs w:val="24"/>
      <w:lang w:val="sr-Latn-RS" w:eastAsia="sr-Latn-RS"/>
    </w:rPr>
  </w:style>
  <w:style w:type="character" w:customStyle="1" w:styleId="oj-italic">
    <w:name w:val="oj-italic"/>
    <w:basedOn w:val="DefaultParagraphFont"/>
    <w:rsid w:val="00F71650"/>
  </w:style>
  <w:style w:type="character" w:customStyle="1" w:styleId="oj-sub">
    <w:name w:val="oj-sub"/>
    <w:basedOn w:val="DefaultParagraphFont"/>
    <w:rsid w:val="00F716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1501496">
      <w:bodyDiv w:val="1"/>
      <w:marLeft w:val="0"/>
      <w:marRight w:val="0"/>
      <w:marTop w:val="0"/>
      <w:marBottom w:val="0"/>
      <w:divBdr>
        <w:top w:val="none" w:sz="0" w:space="0" w:color="auto"/>
        <w:left w:val="none" w:sz="0" w:space="0" w:color="auto"/>
        <w:bottom w:val="none" w:sz="0" w:space="0" w:color="auto"/>
        <w:right w:val="none" w:sz="0" w:space="0" w:color="auto"/>
      </w:divBdr>
    </w:div>
    <w:div w:id="1053307876">
      <w:bodyDiv w:val="1"/>
      <w:marLeft w:val="0"/>
      <w:marRight w:val="0"/>
      <w:marTop w:val="0"/>
      <w:marBottom w:val="0"/>
      <w:divBdr>
        <w:top w:val="none" w:sz="0" w:space="0" w:color="auto"/>
        <w:left w:val="none" w:sz="0" w:space="0" w:color="auto"/>
        <w:bottom w:val="none" w:sz="0" w:space="0" w:color="auto"/>
        <w:right w:val="none" w:sz="0" w:space="0" w:color="auto"/>
      </w:divBdr>
    </w:div>
    <w:div w:id="1665544780">
      <w:bodyDiv w:val="1"/>
      <w:marLeft w:val="0"/>
      <w:marRight w:val="0"/>
      <w:marTop w:val="0"/>
      <w:marBottom w:val="0"/>
      <w:divBdr>
        <w:top w:val="none" w:sz="0" w:space="0" w:color="auto"/>
        <w:left w:val="none" w:sz="0" w:space="0" w:color="auto"/>
        <w:bottom w:val="none" w:sz="0" w:space="0" w:color="auto"/>
        <w:right w:val="none" w:sz="0" w:space="0" w:color="auto"/>
      </w:divBdr>
    </w:div>
    <w:div w:id="1924991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8.emf"/><Relationship Id="rId10" Type="http://schemas.openxmlformats.org/officeDocument/2006/relationships/image" Target="media/image3.e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32DDB2-82BA-499C-BE7F-E5D7691F09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1264</Words>
  <Characters>6489</Characters>
  <Application>Microsoft Office Word</Application>
  <DocSecurity>0</DocSecurity>
  <Lines>309</Lines>
  <Paragraphs>136</Paragraphs>
  <ScaleCrop>false</ScaleCrop>
  <HeadingPairs>
    <vt:vector size="2" baseType="variant">
      <vt:variant>
        <vt:lpstr>Title</vt:lpstr>
      </vt:variant>
      <vt:variant>
        <vt:i4>1</vt:i4>
      </vt:variant>
    </vt:vector>
  </HeadingPairs>
  <TitlesOfParts>
    <vt:vector size="1" baseType="lpstr">
      <vt:lpstr/>
    </vt:vector>
  </TitlesOfParts>
  <Company>Narodna banka Srbije</Company>
  <LinksUpToDate>false</LinksUpToDate>
  <CharactersWithSpaces>7617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ОПК</dc:creator>
  <cp:keywords> [SEC=JAVNO]</cp:keywords>
  <cp:lastModifiedBy>Natalija Stepanovic</cp:lastModifiedBy>
  <cp:revision>3</cp:revision>
  <cp:lastPrinted>2025-06-10T07:42:00Z</cp:lastPrinted>
  <dcterms:created xsi:type="dcterms:W3CDTF">2025-07-04T09:53:00Z</dcterms:created>
  <dcterms:modified xsi:type="dcterms:W3CDTF">2025-07-04T09:53:00Z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M_ProtectiveMarkingValue_Footer">
    <vt:lpwstr>ЈАВНО</vt:lpwstr>
  </property>
  <property fmtid="{D5CDD505-2E9C-101B-9397-08002B2CF9AE}" pid="3" name="PM_Caveats_Count">
    <vt:lpwstr>0</vt:lpwstr>
  </property>
  <property fmtid="{D5CDD505-2E9C-101B-9397-08002B2CF9AE}" pid="4" name="PM_Originator_Hash_SHA1">
    <vt:lpwstr>1708BD883D69F85C9CDA4C99693C78DB085D667F</vt:lpwstr>
  </property>
  <property fmtid="{D5CDD505-2E9C-101B-9397-08002B2CF9AE}" pid="5" name="PM_SecurityClassification">
    <vt:lpwstr>JAVNO</vt:lpwstr>
  </property>
  <property fmtid="{D5CDD505-2E9C-101B-9397-08002B2CF9AE}" pid="6" name="PM_DisplayValueSecClassificationWithQualifier">
    <vt:lpwstr>ЈАВНО</vt:lpwstr>
  </property>
  <property fmtid="{D5CDD505-2E9C-101B-9397-08002B2CF9AE}" pid="7" name="PM_Qualifier">
    <vt:lpwstr/>
  </property>
  <property fmtid="{D5CDD505-2E9C-101B-9397-08002B2CF9AE}" pid="8" name="PM_Hash_SHA1">
    <vt:lpwstr>3F137E736FA66991CCAD9E52A8485D2821572FB8</vt:lpwstr>
  </property>
  <property fmtid="{D5CDD505-2E9C-101B-9397-08002B2CF9AE}" pid="9" name="PM_ProtectiveMarkingImage_Header">
    <vt:lpwstr>C:\Program Files\Common Files\janusNET Shared\janusSEAL\Images\DocumentSlashBlue.png</vt:lpwstr>
  </property>
  <property fmtid="{D5CDD505-2E9C-101B-9397-08002B2CF9AE}" pid="10" name="PM_InsertionValue">
    <vt:lpwstr>JAVNO</vt:lpwstr>
  </property>
  <property fmtid="{D5CDD505-2E9C-101B-9397-08002B2CF9AE}" pid="11" name="PM_ProtectiveMarkingValue_Header">
    <vt:lpwstr>ЈАВНО</vt:lpwstr>
  </property>
  <property fmtid="{D5CDD505-2E9C-101B-9397-08002B2CF9AE}" pid="12" name="PM_ProtectiveMarkingImage_Footer">
    <vt:lpwstr>C:\Program Files\Common Files\janusNET Shared\janusSEAL\Images\DocumentSlashBlue.png</vt:lpwstr>
  </property>
  <property fmtid="{D5CDD505-2E9C-101B-9397-08002B2CF9AE}" pid="13" name="PM_Namespace">
    <vt:lpwstr>NBS</vt:lpwstr>
  </property>
  <property fmtid="{D5CDD505-2E9C-101B-9397-08002B2CF9AE}" pid="14" name="PM_Version">
    <vt:lpwstr>v2</vt:lpwstr>
  </property>
  <property fmtid="{D5CDD505-2E9C-101B-9397-08002B2CF9AE}" pid="15" name="PM_Originating_FileId">
    <vt:lpwstr>0757295C86C540A9A429037D60FA7AA8</vt:lpwstr>
  </property>
  <property fmtid="{D5CDD505-2E9C-101B-9397-08002B2CF9AE}" pid="16" name="PM_OriginationTimeStamp">
    <vt:lpwstr>2024-10-07T11:14:48Z</vt:lpwstr>
  </property>
  <property fmtid="{D5CDD505-2E9C-101B-9397-08002B2CF9AE}" pid="17" name="PM_Hash_Version">
    <vt:lpwstr>2016.1</vt:lpwstr>
  </property>
  <property fmtid="{D5CDD505-2E9C-101B-9397-08002B2CF9AE}" pid="18" name="PM_Hash_Salt_Prev">
    <vt:lpwstr>CD8806DEC2EFCC41A087AF37D20337CE</vt:lpwstr>
  </property>
  <property fmtid="{D5CDD505-2E9C-101B-9397-08002B2CF9AE}" pid="19" name="PM_Hash_Salt">
    <vt:lpwstr>CD8806DEC2EFCC41A087AF37D20337CE</vt:lpwstr>
  </property>
</Properties>
</file>